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51" w:rsidRPr="00CF6448" w:rsidRDefault="00B73751" w:rsidP="00B73751">
      <w:pPr>
        <w:jc w:val="center"/>
        <w:rPr>
          <w:b/>
          <w:bCs/>
          <w:sz w:val="28"/>
          <w:szCs w:val="28"/>
        </w:rPr>
      </w:pPr>
      <w:r w:rsidRPr="00CF6448">
        <w:rPr>
          <w:noProof/>
          <w:sz w:val="28"/>
          <w:szCs w:val="28"/>
          <w:lang w:val="uk-UA" w:eastAsia="uk-UA"/>
        </w:rPr>
        <w:drawing>
          <wp:inline distT="0" distB="0" distL="0" distR="0" wp14:anchorId="1B1EC5D2" wp14:editId="0697D0A0">
            <wp:extent cx="469265" cy="63627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751" w:rsidRPr="00CF6448" w:rsidRDefault="00B73751" w:rsidP="00B73751">
      <w:pPr>
        <w:jc w:val="center"/>
        <w:rPr>
          <w:b/>
          <w:bCs/>
          <w:sz w:val="28"/>
          <w:szCs w:val="28"/>
        </w:rPr>
      </w:pPr>
    </w:p>
    <w:p w:rsidR="00B73751" w:rsidRPr="00CF6448" w:rsidRDefault="00B73751" w:rsidP="00B73751">
      <w:pPr>
        <w:ind w:firstLine="708"/>
        <w:jc w:val="center"/>
        <w:rPr>
          <w:b/>
          <w:bCs/>
          <w:sz w:val="28"/>
          <w:szCs w:val="28"/>
        </w:rPr>
      </w:pPr>
      <w:r w:rsidRPr="00CF6448">
        <w:rPr>
          <w:b/>
          <w:bCs/>
          <w:sz w:val="28"/>
          <w:szCs w:val="28"/>
        </w:rPr>
        <w:t>ТРОСТЯНЕЦЬКА СІЛЬСЬКА РАДА</w:t>
      </w:r>
    </w:p>
    <w:p w:rsidR="00B73751" w:rsidRPr="00CF6448" w:rsidRDefault="00B73751" w:rsidP="00B73751">
      <w:pPr>
        <w:jc w:val="center"/>
        <w:rPr>
          <w:b/>
          <w:bCs/>
          <w:sz w:val="28"/>
          <w:szCs w:val="28"/>
        </w:rPr>
      </w:pPr>
      <w:r w:rsidRPr="00CF6448">
        <w:rPr>
          <w:b/>
          <w:bCs/>
          <w:sz w:val="28"/>
          <w:szCs w:val="28"/>
        </w:rPr>
        <w:t>ТРОСТЯНЕЦЬКОЇ ОБ'ЄДНАНОЇ ТЕРИТОРІАЛЬНОЇ ГРОМАДИ</w:t>
      </w:r>
    </w:p>
    <w:p w:rsidR="00B73751" w:rsidRPr="00CF6448" w:rsidRDefault="00B73751" w:rsidP="00B73751">
      <w:pPr>
        <w:pStyle w:val="1"/>
        <w:tabs>
          <w:tab w:val="left" w:pos="0"/>
        </w:tabs>
      </w:pPr>
      <w:proofErr w:type="spellStart"/>
      <w:r w:rsidRPr="00CF6448">
        <w:t>Миколаївського</w:t>
      </w:r>
      <w:proofErr w:type="spellEnd"/>
      <w:r w:rsidRPr="00CF6448">
        <w:t xml:space="preserve"> району  </w:t>
      </w:r>
      <w:proofErr w:type="spellStart"/>
      <w:r w:rsidRPr="00CF6448">
        <w:t>Львівської</w:t>
      </w:r>
      <w:proofErr w:type="spellEnd"/>
      <w:r w:rsidRPr="00CF6448">
        <w:t xml:space="preserve"> </w:t>
      </w:r>
      <w:proofErr w:type="spellStart"/>
      <w:r w:rsidRPr="00CF6448">
        <w:t>області</w:t>
      </w:r>
      <w:proofErr w:type="spellEnd"/>
    </w:p>
    <w:p w:rsidR="00B73751" w:rsidRPr="00CF6448" w:rsidRDefault="00B73751" w:rsidP="00B73751">
      <w:pPr>
        <w:jc w:val="center"/>
        <w:rPr>
          <w:sz w:val="28"/>
          <w:szCs w:val="28"/>
        </w:rPr>
      </w:pPr>
    </w:p>
    <w:p w:rsidR="007707A9" w:rsidRDefault="00B73751" w:rsidP="007707A9">
      <w:pPr>
        <w:pStyle w:val="a4"/>
        <w:ind w:left="0" w:firstLine="0"/>
        <w:jc w:val="center"/>
        <w:rPr>
          <w:b/>
          <w:lang w:val="uk-UA"/>
        </w:rPr>
      </w:pPr>
      <w:r w:rsidRPr="00CF6448">
        <w:rPr>
          <w:b/>
          <w:lang w:val="uk-UA"/>
        </w:rPr>
        <w:t>ВИКОНАВЧИЙ КОМІТЕТ</w:t>
      </w:r>
      <w:r w:rsidR="007707A9" w:rsidRPr="007707A9">
        <w:rPr>
          <w:b/>
        </w:rPr>
        <w:t xml:space="preserve"> </w:t>
      </w:r>
    </w:p>
    <w:p w:rsidR="00B73751" w:rsidRPr="00CF6448" w:rsidRDefault="007707A9" w:rsidP="00C72D17">
      <w:pPr>
        <w:pStyle w:val="a4"/>
        <w:ind w:left="0" w:firstLine="0"/>
        <w:jc w:val="center"/>
        <w:rPr>
          <w:b/>
          <w:lang w:val="uk-UA"/>
        </w:rPr>
      </w:pPr>
      <w:r w:rsidRPr="00CF6448">
        <w:rPr>
          <w:b/>
        </w:rPr>
        <w:t xml:space="preserve">Р І Ш Е Н </w:t>
      </w:r>
      <w:proofErr w:type="spellStart"/>
      <w:proofErr w:type="gramStart"/>
      <w:r w:rsidRPr="00CF6448">
        <w:rPr>
          <w:b/>
        </w:rPr>
        <w:t>Н</w:t>
      </w:r>
      <w:proofErr w:type="spellEnd"/>
      <w:proofErr w:type="gramEnd"/>
      <w:r w:rsidRPr="00CF6448">
        <w:rPr>
          <w:b/>
        </w:rPr>
        <w:t xml:space="preserve"> Я</w:t>
      </w:r>
    </w:p>
    <w:p w:rsidR="00B73751" w:rsidRPr="00C72D17" w:rsidRDefault="007707A9" w:rsidP="00B73751">
      <w:pPr>
        <w:spacing w:before="280" w:after="280"/>
        <w:jc w:val="both"/>
        <w:rPr>
          <w:b/>
        </w:rPr>
      </w:pPr>
      <w:r w:rsidRPr="00C72D17">
        <w:rPr>
          <w:b/>
        </w:rPr>
        <w:t xml:space="preserve">   02</w:t>
      </w:r>
      <w:r w:rsidR="00CF6448" w:rsidRPr="00C72D17">
        <w:rPr>
          <w:b/>
        </w:rPr>
        <w:t xml:space="preserve"> </w:t>
      </w:r>
      <w:r w:rsidRPr="00C72D17">
        <w:rPr>
          <w:b/>
          <w:lang w:val="uk-UA"/>
        </w:rPr>
        <w:t>жовтня</w:t>
      </w:r>
      <w:r w:rsidR="00B73751" w:rsidRPr="00C72D17">
        <w:rPr>
          <w:b/>
        </w:rPr>
        <w:t xml:space="preserve">   </w:t>
      </w:r>
      <w:r w:rsidRPr="00C72D17">
        <w:rPr>
          <w:b/>
          <w:lang w:val="uk-UA"/>
        </w:rPr>
        <w:t>2017</w:t>
      </w:r>
      <w:r w:rsidR="00B73751" w:rsidRPr="00C72D17">
        <w:rPr>
          <w:b/>
        </w:rPr>
        <w:t xml:space="preserve"> року  </w:t>
      </w:r>
      <w:r w:rsidRPr="00C72D17">
        <w:rPr>
          <w:b/>
          <w:lang w:val="uk-UA"/>
        </w:rPr>
        <w:t xml:space="preserve">  </w:t>
      </w:r>
      <w:r w:rsidR="00221026" w:rsidRPr="00C72D17">
        <w:rPr>
          <w:b/>
          <w:lang w:val="uk-UA"/>
        </w:rPr>
        <w:t xml:space="preserve">    </w:t>
      </w:r>
      <w:r w:rsidR="00AA63B8">
        <w:rPr>
          <w:b/>
          <w:lang w:val="uk-UA"/>
        </w:rPr>
        <w:t xml:space="preserve">      </w:t>
      </w:r>
      <w:r w:rsidR="00221026" w:rsidRPr="00C72D17">
        <w:rPr>
          <w:b/>
          <w:lang w:val="uk-UA"/>
        </w:rPr>
        <w:t xml:space="preserve">  с. Тростянець</w:t>
      </w:r>
      <w:r w:rsidRPr="00C72D17">
        <w:rPr>
          <w:b/>
          <w:lang w:val="uk-UA"/>
        </w:rPr>
        <w:t xml:space="preserve">                                            </w:t>
      </w:r>
      <w:r w:rsidR="00B73751" w:rsidRPr="00C72D17">
        <w:rPr>
          <w:b/>
        </w:rPr>
        <w:t xml:space="preserve">№  </w:t>
      </w:r>
      <w:r w:rsidR="008E14C7" w:rsidRPr="00C72D17">
        <w:rPr>
          <w:b/>
          <w:lang w:val="uk-UA"/>
        </w:rPr>
        <w:t>101</w:t>
      </w:r>
      <w:r w:rsidR="00B73751" w:rsidRPr="00C72D17">
        <w:rPr>
          <w:b/>
        </w:rPr>
        <w:t xml:space="preserve">    </w:t>
      </w:r>
    </w:p>
    <w:p w:rsidR="008E14C7" w:rsidRPr="00C72D17" w:rsidRDefault="008E14C7" w:rsidP="00B73751">
      <w:pPr>
        <w:jc w:val="both"/>
        <w:rPr>
          <w:b/>
          <w:bCs/>
          <w:lang w:val="uk-UA" w:eastAsia="uk-UA"/>
        </w:rPr>
      </w:pPr>
      <w:r w:rsidRPr="00C72D17">
        <w:rPr>
          <w:b/>
          <w:bCs/>
          <w:lang w:val="uk-UA" w:eastAsia="uk-UA"/>
        </w:rPr>
        <w:t xml:space="preserve">Про затвердження проекту рішення </w:t>
      </w:r>
    </w:p>
    <w:p w:rsidR="007707A9" w:rsidRPr="00C72D17" w:rsidRDefault="008E14C7" w:rsidP="00B73751">
      <w:pPr>
        <w:jc w:val="both"/>
        <w:rPr>
          <w:b/>
          <w:bCs/>
          <w:lang w:val="uk-UA" w:eastAsia="uk-UA"/>
        </w:rPr>
      </w:pPr>
      <w:r w:rsidRPr="00C72D17">
        <w:rPr>
          <w:b/>
          <w:bCs/>
          <w:lang w:val="uk-UA" w:eastAsia="uk-UA"/>
        </w:rPr>
        <w:t>«</w:t>
      </w:r>
      <w:r w:rsidR="00B73751" w:rsidRPr="00C72D17">
        <w:rPr>
          <w:b/>
          <w:bCs/>
          <w:lang w:val="uk-UA" w:eastAsia="uk-UA"/>
        </w:rPr>
        <w:t xml:space="preserve">Про встановлення </w:t>
      </w:r>
      <w:r w:rsidR="007707A9" w:rsidRPr="00C72D17">
        <w:rPr>
          <w:b/>
          <w:bCs/>
          <w:lang w:val="uk-UA" w:eastAsia="uk-UA"/>
        </w:rPr>
        <w:t xml:space="preserve">тарифів на послуги </w:t>
      </w:r>
    </w:p>
    <w:p w:rsidR="007707A9" w:rsidRPr="00C72D17" w:rsidRDefault="007707A9" w:rsidP="00B73751">
      <w:pPr>
        <w:jc w:val="both"/>
        <w:rPr>
          <w:b/>
          <w:bCs/>
          <w:lang w:val="uk-UA" w:eastAsia="uk-UA"/>
        </w:rPr>
      </w:pPr>
      <w:r w:rsidRPr="00C72D17">
        <w:rPr>
          <w:b/>
          <w:bCs/>
          <w:lang w:val="uk-UA" w:eastAsia="uk-UA"/>
        </w:rPr>
        <w:t xml:space="preserve">з централізованого водопостачання </w:t>
      </w:r>
    </w:p>
    <w:p w:rsidR="00B73751" w:rsidRPr="00C72D17" w:rsidRDefault="007707A9" w:rsidP="00B73751">
      <w:pPr>
        <w:jc w:val="both"/>
        <w:rPr>
          <w:lang w:val="uk-UA" w:eastAsia="uk-UA"/>
        </w:rPr>
      </w:pPr>
      <w:r w:rsidRPr="00C72D17">
        <w:rPr>
          <w:b/>
          <w:bCs/>
          <w:lang w:val="uk-UA" w:eastAsia="uk-UA"/>
        </w:rPr>
        <w:t xml:space="preserve">та водовідведення для абонентів </w:t>
      </w:r>
      <w:proofErr w:type="spellStart"/>
      <w:r w:rsidRPr="00C72D17">
        <w:rPr>
          <w:b/>
          <w:bCs/>
          <w:lang w:val="uk-UA" w:eastAsia="uk-UA"/>
        </w:rPr>
        <w:t>сщ</w:t>
      </w:r>
      <w:proofErr w:type="spellEnd"/>
      <w:r w:rsidRPr="00C72D17">
        <w:rPr>
          <w:b/>
          <w:bCs/>
          <w:lang w:val="uk-UA" w:eastAsia="uk-UA"/>
        </w:rPr>
        <w:t>. Липівка</w:t>
      </w:r>
      <w:r w:rsidR="008E14C7" w:rsidRPr="00C72D17">
        <w:rPr>
          <w:b/>
          <w:bCs/>
          <w:lang w:val="uk-UA" w:eastAsia="uk-UA"/>
        </w:rPr>
        <w:t>»</w:t>
      </w:r>
    </w:p>
    <w:p w:rsidR="00B73751" w:rsidRPr="00C72D17" w:rsidRDefault="00B73751" w:rsidP="00B73751">
      <w:pPr>
        <w:jc w:val="both"/>
        <w:rPr>
          <w:lang w:val="uk-UA" w:eastAsia="uk-UA"/>
        </w:rPr>
      </w:pPr>
    </w:p>
    <w:p w:rsidR="00B73751" w:rsidRPr="00C72D17" w:rsidRDefault="008E14C7" w:rsidP="00B73751">
      <w:pPr>
        <w:jc w:val="both"/>
        <w:rPr>
          <w:lang w:val="uk-UA" w:eastAsia="uk-UA"/>
        </w:rPr>
      </w:pPr>
      <w:r w:rsidRPr="00C72D17">
        <w:rPr>
          <w:lang w:val="uk-UA" w:eastAsia="uk-UA"/>
        </w:rPr>
        <w:t xml:space="preserve">     </w:t>
      </w:r>
      <w:proofErr w:type="spellStart"/>
      <w:r w:rsidR="007707A9" w:rsidRPr="00C72D17">
        <w:rPr>
          <w:lang w:val="uk-UA" w:eastAsia="uk-UA"/>
        </w:rPr>
        <w:t>Розглягувши</w:t>
      </w:r>
      <w:proofErr w:type="spellEnd"/>
      <w:r w:rsidR="007707A9" w:rsidRPr="00C72D17">
        <w:rPr>
          <w:lang w:val="uk-UA" w:eastAsia="uk-UA"/>
        </w:rPr>
        <w:t xml:space="preserve"> звернення МКП «</w:t>
      </w:r>
      <w:proofErr w:type="spellStart"/>
      <w:r w:rsidR="007707A9" w:rsidRPr="00C72D17">
        <w:rPr>
          <w:lang w:val="uk-UA" w:eastAsia="uk-UA"/>
        </w:rPr>
        <w:t>Миколаївводоканал</w:t>
      </w:r>
      <w:proofErr w:type="spellEnd"/>
      <w:r w:rsidR="007707A9" w:rsidRPr="00C72D17">
        <w:rPr>
          <w:lang w:val="uk-UA" w:eastAsia="uk-UA"/>
        </w:rPr>
        <w:t xml:space="preserve">» від 22.05.2017 р., № 148 з відповідними розрахунками щодо </w:t>
      </w:r>
      <w:proofErr w:type="spellStart"/>
      <w:r w:rsidR="007707A9" w:rsidRPr="00C72D17">
        <w:rPr>
          <w:lang w:val="uk-UA" w:eastAsia="uk-UA"/>
        </w:rPr>
        <w:t>встновлення</w:t>
      </w:r>
      <w:proofErr w:type="spellEnd"/>
      <w:r w:rsidR="007707A9" w:rsidRPr="00C72D17">
        <w:rPr>
          <w:lang w:val="uk-UA" w:eastAsia="uk-UA"/>
        </w:rPr>
        <w:t xml:space="preserve"> </w:t>
      </w:r>
      <w:proofErr w:type="spellStart"/>
      <w:r w:rsidR="007707A9" w:rsidRPr="00C72D17">
        <w:rPr>
          <w:lang w:val="uk-UA" w:eastAsia="uk-UA"/>
        </w:rPr>
        <w:t>економічно-обгрунтованих</w:t>
      </w:r>
      <w:proofErr w:type="spellEnd"/>
      <w:r w:rsidR="007707A9" w:rsidRPr="00C72D17">
        <w:rPr>
          <w:lang w:val="uk-UA" w:eastAsia="uk-UA"/>
        </w:rPr>
        <w:t xml:space="preserve"> тарифів на послуги з централізованого водопостачання та водовідведення для споживачів </w:t>
      </w:r>
      <w:proofErr w:type="spellStart"/>
      <w:r w:rsidR="007707A9" w:rsidRPr="00C72D17">
        <w:rPr>
          <w:lang w:val="uk-UA" w:eastAsia="uk-UA"/>
        </w:rPr>
        <w:t>сщ</w:t>
      </w:r>
      <w:proofErr w:type="spellEnd"/>
      <w:r w:rsidR="007707A9" w:rsidRPr="00C72D17">
        <w:rPr>
          <w:lang w:val="uk-UA" w:eastAsia="uk-UA"/>
        </w:rPr>
        <w:t>. Липівка, керуючись ЗУ «Про житлово-комунальні послуги», Постановою КМУ від 01.06.2011 р., № 869 «Про забезпечення єдиного підходу до формування тарифів на житлово-комунальні послуги</w:t>
      </w:r>
      <w:r w:rsidR="00EC5EA1" w:rsidRPr="00C72D17">
        <w:rPr>
          <w:lang w:val="uk-UA" w:eastAsia="uk-UA"/>
        </w:rPr>
        <w:t xml:space="preserve">», відповідно до </w:t>
      </w:r>
      <w:r w:rsidR="00E63AE0" w:rsidRPr="00C72D17">
        <w:rPr>
          <w:lang w:val="uk-UA" w:eastAsia="uk-UA"/>
        </w:rPr>
        <w:t>ст. 28</w:t>
      </w:r>
      <w:r w:rsidR="00B73751" w:rsidRPr="00C72D17">
        <w:rPr>
          <w:lang w:val="uk-UA" w:eastAsia="uk-UA"/>
        </w:rPr>
        <w:t xml:space="preserve"> Закону України «Про місцеве самоврядування в Україні», виконком сільської ради</w:t>
      </w:r>
      <w:r w:rsidR="00CF6448" w:rsidRPr="00C72D17">
        <w:rPr>
          <w:lang w:val="uk-UA" w:eastAsia="uk-UA"/>
        </w:rPr>
        <w:t xml:space="preserve"> вирішив:</w:t>
      </w:r>
    </w:p>
    <w:p w:rsidR="00B73751" w:rsidRPr="00C72D17" w:rsidRDefault="00C72D17" w:rsidP="00B73751">
      <w:pPr>
        <w:jc w:val="both"/>
        <w:rPr>
          <w:lang w:val="uk-UA" w:eastAsia="uk-UA"/>
        </w:rPr>
      </w:pPr>
      <w:r>
        <w:rPr>
          <w:lang w:val="uk-UA" w:eastAsia="uk-UA"/>
        </w:rPr>
        <w:t xml:space="preserve">     </w:t>
      </w:r>
      <w:r w:rsidR="00B73751" w:rsidRPr="00C72D17">
        <w:rPr>
          <w:lang w:val="uk-UA" w:eastAsia="uk-UA"/>
        </w:rPr>
        <w:t xml:space="preserve">1. </w:t>
      </w:r>
      <w:r w:rsidR="00E63AE0" w:rsidRPr="00C72D17">
        <w:rPr>
          <w:lang w:val="uk-UA" w:eastAsia="uk-UA"/>
        </w:rPr>
        <w:t>Затвердити тарифи на послуги з централізованого водопостачання та водовідведення для населення, бюджетних установ та інших с</w:t>
      </w:r>
      <w:bookmarkStart w:id="0" w:name="_GoBack"/>
      <w:bookmarkEnd w:id="0"/>
      <w:r w:rsidR="00E63AE0" w:rsidRPr="00C72D17">
        <w:rPr>
          <w:lang w:val="uk-UA" w:eastAsia="uk-UA"/>
        </w:rPr>
        <w:t xml:space="preserve">поживачів </w:t>
      </w:r>
      <w:proofErr w:type="spellStart"/>
      <w:r w:rsidR="00E63AE0" w:rsidRPr="00C72D17">
        <w:rPr>
          <w:lang w:val="uk-UA" w:eastAsia="uk-UA"/>
        </w:rPr>
        <w:t>сщ</w:t>
      </w:r>
      <w:proofErr w:type="spellEnd"/>
      <w:r w:rsidR="00E63AE0" w:rsidRPr="00C72D17">
        <w:rPr>
          <w:lang w:val="uk-UA" w:eastAsia="uk-UA"/>
        </w:rPr>
        <w:t>. Липівка, які надає МКП «</w:t>
      </w:r>
      <w:proofErr w:type="spellStart"/>
      <w:r w:rsidR="00E63AE0" w:rsidRPr="00C72D17">
        <w:rPr>
          <w:lang w:val="uk-UA" w:eastAsia="uk-UA"/>
        </w:rPr>
        <w:t>Миколаївводоканал</w:t>
      </w:r>
      <w:proofErr w:type="spellEnd"/>
      <w:r w:rsidR="00E63AE0" w:rsidRPr="00C72D17">
        <w:rPr>
          <w:lang w:val="uk-UA" w:eastAsia="uk-UA"/>
        </w:rPr>
        <w:t>», а саме:</w:t>
      </w:r>
      <w:r w:rsidR="00B73751" w:rsidRPr="00C72D17">
        <w:rPr>
          <w:lang w:val="uk-UA" w:eastAsia="uk-UA"/>
        </w:rPr>
        <w:t>.</w:t>
      </w:r>
    </w:p>
    <w:p w:rsidR="00B73751" w:rsidRPr="00C72D17" w:rsidRDefault="00B73751" w:rsidP="00B73751">
      <w:pPr>
        <w:jc w:val="both"/>
        <w:rPr>
          <w:lang w:val="uk-UA" w:eastAsia="uk-UA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1370"/>
        <w:gridCol w:w="1159"/>
        <w:gridCol w:w="1236"/>
        <w:gridCol w:w="1036"/>
        <w:gridCol w:w="1458"/>
        <w:gridCol w:w="1352"/>
      </w:tblGrid>
      <w:tr w:rsidR="00E63AE0" w:rsidRPr="00C72D17" w:rsidTr="007707A9">
        <w:trPr>
          <w:trHeight w:val="246"/>
        </w:trPr>
        <w:tc>
          <w:tcPr>
            <w:tcW w:w="2055" w:type="dxa"/>
            <w:vMerge w:val="restart"/>
          </w:tcPr>
          <w:p w:rsidR="007707A9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Назва груп</w:t>
            </w:r>
          </w:p>
        </w:tc>
        <w:tc>
          <w:tcPr>
            <w:tcW w:w="3635" w:type="dxa"/>
            <w:gridSpan w:val="3"/>
          </w:tcPr>
          <w:p w:rsidR="007707A9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Водопостачання</w:t>
            </w:r>
          </w:p>
        </w:tc>
        <w:tc>
          <w:tcPr>
            <w:tcW w:w="3846" w:type="dxa"/>
            <w:gridSpan w:val="3"/>
          </w:tcPr>
          <w:p w:rsidR="007707A9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Водовідведення</w:t>
            </w:r>
          </w:p>
        </w:tc>
      </w:tr>
      <w:tr w:rsidR="00C72D17" w:rsidRPr="00C72D17" w:rsidTr="00EC5EA1">
        <w:trPr>
          <w:trHeight w:val="333"/>
        </w:trPr>
        <w:tc>
          <w:tcPr>
            <w:tcW w:w="2055" w:type="dxa"/>
            <w:vMerge/>
          </w:tcPr>
          <w:p w:rsidR="00EC5EA1" w:rsidRPr="00C72D17" w:rsidRDefault="00EC5EA1" w:rsidP="00B73751">
            <w:pPr>
              <w:jc w:val="both"/>
              <w:rPr>
                <w:lang w:val="uk-UA" w:eastAsia="uk-UA"/>
              </w:rPr>
            </w:pPr>
          </w:p>
        </w:tc>
        <w:tc>
          <w:tcPr>
            <w:tcW w:w="1370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За 1 м</w:t>
            </w:r>
            <w:r w:rsidRPr="00C72D17">
              <w:rPr>
                <w:vertAlign w:val="superscript"/>
                <w:lang w:val="uk-UA" w:eastAsia="uk-UA"/>
              </w:rPr>
              <w:t>3</w:t>
            </w:r>
          </w:p>
          <w:p w:rsidR="00E63AE0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в грн. з ПДВ</w:t>
            </w:r>
          </w:p>
          <w:p w:rsidR="00EC5EA1" w:rsidRPr="00C72D17" w:rsidRDefault="00EC5EA1" w:rsidP="00B73751">
            <w:pPr>
              <w:jc w:val="both"/>
              <w:rPr>
                <w:lang w:val="uk-UA" w:eastAsia="uk-UA"/>
              </w:rPr>
            </w:pPr>
          </w:p>
        </w:tc>
        <w:tc>
          <w:tcPr>
            <w:tcW w:w="1159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 xml:space="preserve">% </w:t>
            </w:r>
            <w:proofErr w:type="spellStart"/>
            <w:r w:rsidRPr="00C72D17">
              <w:rPr>
                <w:lang w:val="uk-UA" w:eastAsia="uk-UA"/>
              </w:rPr>
              <w:t>рентаб</w:t>
            </w:r>
            <w:proofErr w:type="spellEnd"/>
            <w:r w:rsidRPr="00C72D17">
              <w:rPr>
                <w:lang w:val="uk-UA" w:eastAsia="uk-UA"/>
              </w:rPr>
              <w:t>.</w:t>
            </w:r>
          </w:p>
        </w:tc>
        <w:tc>
          <w:tcPr>
            <w:tcW w:w="1106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% зростання до діючих тарифів</w:t>
            </w:r>
          </w:p>
        </w:tc>
        <w:tc>
          <w:tcPr>
            <w:tcW w:w="1036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За 1 м</w:t>
            </w:r>
            <w:r w:rsidRPr="00C72D17">
              <w:rPr>
                <w:vertAlign w:val="superscript"/>
                <w:lang w:val="uk-UA" w:eastAsia="uk-UA"/>
              </w:rPr>
              <w:t>3</w:t>
            </w:r>
          </w:p>
          <w:p w:rsidR="00E63AE0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в грн.. з ПДВ</w:t>
            </w:r>
          </w:p>
        </w:tc>
        <w:tc>
          <w:tcPr>
            <w:tcW w:w="1458" w:type="dxa"/>
          </w:tcPr>
          <w:p w:rsidR="00EC5EA1" w:rsidRPr="00C72D17" w:rsidRDefault="00E63AE0" w:rsidP="00E63AE0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 xml:space="preserve">% </w:t>
            </w:r>
            <w:proofErr w:type="spellStart"/>
            <w:r w:rsidRPr="00C72D17">
              <w:rPr>
                <w:lang w:val="uk-UA" w:eastAsia="uk-UA"/>
              </w:rPr>
              <w:t>рентаб</w:t>
            </w:r>
            <w:proofErr w:type="spellEnd"/>
            <w:r w:rsidRPr="00C72D17">
              <w:rPr>
                <w:lang w:val="uk-UA" w:eastAsia="uk-UA"/>
              </w:rPr>
              <w:t>.</w:t>
            </w:r>
          </w:p>
        </w:tc>
        <w:tc>
          <w:tcPr>
            <w:tcW w:w="1352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% зростання до діючих тарифів</w:t>
            </w:r>
          </w:p>
        </w:tc>
      </w:tr>
      <w:tr w:rsidR="00C72D17" w:rsidRPr="00C72D17" w:rsidTr="00EC5EA1">
        <w:trPr>
          <w:trHeight w:val="158"/>
        </w:trPr>
        <w:tc>
          <w:tcPr>
            <w:tcW w:w="2055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 xml:space="preserve">1 </w:t>
            </w:r>
            <w:proofErr w:type="spellStart"/>
            <w:r w:rsidRPr="00C72D17">
              <w:rPr>
                <w:lang w:val="uk-UA" w:eastAsia="uk-UA"/>
              </w:rPr>
              <w:t>група</w:t>
            </w:r>
            <w:r w:rsidR="00673E77">
              <w:rPr>
                <w:lang w:val="uk-UA" w:eastAsia="uk-UA"/>
              </w:rPr>
              <w:t>-</w:t>
            </w:r>
            <w:proofErr w:type="spellEnd"/>
            <w:r w:rsidRPr="00C72D17">
              <w:rPr>
                <w:lang w:val="uk-UA" w:eastAsia="uk-UA"/>
              </w:rPr>
              <w:t xml:space="preserve"> населення</w:t>
            </w:r>
          </w:p>
        </w:tc>
        <w:tc>
          <w:tcPr>
            <w:tcW w:w="1370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10,01</w:t>
            </w:r>
          </w:p>
        </w:tc>
        <w:tc>
          <w:tcPr>
            <w:tcW w:w="1159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 xml:space="preserve">     -</w:t>
            </w:r>
          </w:p>
        </w:tc>
        <w:tc>
          <w:tcPr>
            <w:tcW w:w="1106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51,4</w:t>
            </w:r>
          </w:p>
        </w:tc>
        <w:tc>
          <w:tcPr>
            <w:tcW w:w="1036" w:type="dxa"/>
          </w:tcPr>
          <w:p w:rsidR="00EC5EA1" w:rsidRPr="00C72D17" w:rsidRDefault="00E63AE0" w:rsidP="008E14C7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20</w:t>
            </w:r>
            <w:r w:rsidR="008E14C7" w:rsidRPr="00C72D17">
              <w:rPr>
                <w:lang w:val="uk-UA" w:eastAsia="uk-UA"/>
              </w:rPr>
              <w:t>,</w:t>
            </w:r>
            <w:r w:rsidRPr="00C72D17">
              <w:rPr>
                <w:lang w:val="uk-UA" w:eastAsia="uk-UA"/>
              </w:rPr>
              <w:t>23</w:t>
            </w:r>
          </w:p>
        </w:tc>
        <w:tc>
          <w:tcPr>
            <w:tcW w:w="1458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 xml:space="preserve">       -</w:t>
            </w:r>
          </w:p>
        </w:tc>
        <w:tc>
          <w:tcPr>
            <w:tcW w:w="1352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97,7</w:t>
            </w:r>
          </w:p>
        </w:tc>
      </w:tr>
      <w:tr w:rsidR="00C72D17" w:rsidRPr="00C72D17" w:rsidTr="00EC5EA1">
        <w:trPr>
          <w:trHeight w:val="146"/>
        </w:trPr>
        <w:tc>
          <w:tcPr>
            <w:tcW w:w="2055" w:type="dxa"/>
          </w:tcPr>
          <w:p w:rsidR="00EC5EA1" w:rsidRPr="00C72D17" w:rsidRDefault="00E63AE0" w:rsidP="00673E77">
            <w:pPr>
              <w:jc w:val="both"/>
              <w:rPr>
                <w:lang w:val="uk-UA" w:eastAsia="uk-UA"/>
              </w:rPr>
            </w:pPr>
            <w:r w:rsidRPr="00C72D17">
              <w:rPr>
                <w:lang w:val="en-US" w:eastAsia="uk-UA"/>
              </w:rPr>
              <w:t>II</w:t>
            </w:r>
            <w:r w:rsidRPr="00C72D17">
              <w:rPr>
                <w:lang w:val="uk-UA" w:eastAsia="uk-UA"/>
              </w:rPr>
              <w:t xml:space="preserve"> </w:t>
            </w:r>
            <w:proofErr w:type="spellStart"/>
            <w:r w:rsidRPr="00C72D17">
              <w:rPr>
                <w:lang w:val="uk-UA" w:eastAsia="uk-UA"/>
              </w:rPr>
              <w:t>група</w:t>
            </w:r>
            <w:r w:rsidR="00673E77">
              <w:rPr>
                <w:lang w:val="uk-UA" w:eastAsia="uk-UA"/>
              </w:rPr>
              <w:t>-</w:t>
            </w:r>
            <w:proofErr w:type="spellEnd"/>
            <w:r w:rsidRPr="00C72D17">
              <w:rPr>
                <w:lang w:val="uk-UA" w:eastAsia="uk-UA"/>
              </w:rPr>
              <w:t xml:space="preserve"> </w:t>
            </w:r>
            <w:r w:rsidR="00673E77">
              <w:rPr>
                <w:lang w:val="uk-UA" w:eastAsia="uk-UA"/>
              </w:rPr>
              <w:t>бюджетні установи</w:t>
            </w:r>
          </w:p>
        </w:tc>
        <w:tc>
          <w:tcPr>
            <w:tcW w:w="1370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10.01</w:t>
            </w:r>
          </w:p>
        </w:tc>
        <w:tc>
          <w:tcPr>
            <w:tcW w:w="1159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 xml:space="preserve">     - </w:t>
            </w:r>
          </w:p>
        </w:tc>
        <w:tc>
          <w:tcPr>
            <w:tcW w:w="1106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35,3</w:t>
            </w:r>
          </w:p>
        </w:tc>
        <w:tc>
          <w:tcPr>
            <w:tcW w:w="1036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20,23</w:t>
            </w:r>
          </w:p>
        </w:tc>
        <w:tc>
          <w:tcPr>
            <w:tcW w:w="1458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 xml:space="preserve">       -</w:t>
            </w:r>
          </w:p>
        </w:tc>
        <w:tc>
          <w:tcPr>
            <w:tcW w:w="1352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77,5</w:t>
            </w:r>
          </w:p>
        </w:tc>
      </w:tr>
      <w:tr w:rsidR="00C72D17" w:rsidRPr="00C72D17" w:rsidTr="00EC5EA1">
        <w:trPr>
          <w:trHeight w:val="176"/>
        </w:trPr>
        <w:tc>
          <w:tcPr>
            <w:tcW w:w="2055" w:type="dxa"/>
          </w:tcPr>
          <w:p w:rsidR="00EC5EA1" w:rsidRPr="00C72D17" w:rsidRDefault="00E63AE0" w:rsidP="00673E77">
            <w:pPr>
              <w:jc w:val="both"/>
              <w:rPr>
                <w:lang w:val="uk-UA" w:eastAsia="uk-UA"/>
              </w:rPr>
            </w:pPr>
            <w:r w:rsidRPr="00C72D17">
              <w:rPr>
                <w:lang w:val="en-US" w:eastAsia="uk-UA"/>
              </w:rPr>
              <w:t>III</w:t>
            </w:r>
            <w:r w:rsidRPr="00C72D17">
              <w:rPr>
                <w:lang w:val="uk-UA" w:eastAsia="uk-UA"/>
              </w:rPr>
              <w:t xml:space="preserve"> група </w:t>
            </w:r>
            <w:r w:rsidR="00673E77">
              <w:rPr>
                <w:lang w:val="uk-UA" w:eastAsia="uk-UA"/>
              </w:rPr>
              <w:t>інші- споживачі</w:t>
            </w:r>
          </w:p>
        </w:tc>
        <w:tc>
          <w:tcPr>
            <w:tcW w:w="1370" w:type="dxa"/>
          </w:tcPr>
          <w:p w:rsidR="00EC5EA1" w:rsidRPr="00C72D17" w:rsidRDefault="008E14C7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 xml:space="preserve">      </w:t>
            </w:r>
            <w:r w:rsidR="00E63AE0" w:rsidRPr="00C72D17">
              <w:rPr>
                <w:lang w:val="uk-UA" w:eastAsia="uk-UA"/>
              </w:rPr>
              <w:t>-</w:t>
            </w:r>
          </w:p>
        </w:tc>
        <w:tc>
          <w:tcPr>
            <w:tcW w:w="1159" w:type="dxa"/>
          </w:tcPr>
          <w:p w:rsidR="00EC5EA1" w:rsidRPr="00C72D17" w:rsidRDefault="008E14C7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 xml:space="preserve">     </w:t>
            </w:r>
            <w:r w:rsidR="00E63AE0" w:rsidRPr="00C72D17">
              <w:rPr>
                <w:lang w:val="uk-UA" w:eastAsia="uk-UA"/>
              </w:rPr>
              <w:t>-</w:t>
            </w:r>
          </w:p>
        </w:tc>
        <w:tc>
          <w:tcPr>
            <w:tcW w:w="1106" w:type="dxa"/>
          </w:tcPr>
          <w:p w:rsidR="00EC5EA1" w:rsidRPr="00C72D17" w:rsidRDefault="008E14C7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 xml:space="preserve">      </w:t>
            </w:r>
            <w:r w:rsidR="00E63AE0" w:rsidRPr="00C72D17">
              <w:rPr>
                <w:lang w:val="uk-UA" w:eastAsia="uk-UA"/>
              </w:rPr>
              <w:t>-</w:t>
            </w:r>
          </w:p>
        </w:tc>
        <w:tc>
          <w:tcPr>
            <w:tcW w:w="1036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20,23</w:t>
            </w:r>
          </w:p>
        </w:tc>
        <w:tc>
          <w:tcPr>
            <w:tcW w:w="1458" w:type="dxa"/>
          </w:tcPr>
          <w:p w:rsidR="00EC5EA1" w:rsidRPr="00C72D17" w:rsidRDefault="008E14C7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 xml:space="preserve">        </w:t>
            </w:r>
            <w:r w:rsidR="00E63AE0" w:rsidRPr="00C72D17">
              <w:rPr>
                <w:lang w:val="uk-UA" w:eastAsia="uk-UA"/>
              </w:rPr>
              <w:t>-</w:t>
            </w:r>
          </w:p>
        </w:tc>
        <w:tc>
          <w:tcPr>
            <w:tcW w:w="1352" w:type="dxa"/>
          </w:tcPr>
          <w:p w:rsidR="00EC5EA1" w:rsidRPr="00C72D17" w:rsidRDefault="00E63AE0" w:rsidP="00B73751">
            <w:pPr>
              <w:jc w:val="both"/>
              <w:rPr>
                <w:lang w:val="uk-UA" w:eastAsia="uk-UA"/>
              </w:rPr>
            </w:pPr>
            <w:r w:rsidRPr="00C72D17">
              <w:rPr>
                <w:lang w:val="uk-UA" w:eastAsia="uk-UA"/>
              </w:rPr>
              <w:t>9,9</w:t>
            </w:r>
          </w:p>
        </w:tc>
      </w:tr>
    </w:tbl>
    <w:p w:rsidR="007707A9" w:rsidRPr="00C72D17" w:rsidRDefault="007707A9" w:rsidP="00B73751">
      <w:pPr>
        <w:jc w:val="both"/>
        <w:rPr>
          <w:lang w:val="uk-UA" w:eastAsia="uk-UA"/>
        </w:rPr>
      </w:pPr>
    </w:p>
    <w:p w:rsidR="00191DCE" w:rsidRPr="00C72D17" w:rsidRDefault="00B73751" w:rsidP="007707A9">
      <w:pPr>
        <w:jc w:val="both"/>
        <w:rPr>
          <w:lang w:val="uk-UA" w:eastAsia="uk-UA"/>
        </w:rPr>
      </w:pPr>
      <w:r w:rsidRPr="00C72D17">
        <w:rPr>
          <w:lang w:val="uk-UA" w:eastAsia="uk-UA"/>
        </w:rPr>
        <w:t xml:space="preserve">2. </w:t>
      </w:r>
      <w:r w:rsidR="0049107A" w:rsidRPr="00C72D17">
        <w:rPr>
          <w:lang w:val="uk-UA" w:eastAsia="uk-UA"/>
        </w:rPr>
        <w:t xml:space="preserve"> </w:t>
      </w:r>
      <w:r w:rsidR="00E63AE0" w:rsidRPr="00C72D17">
        <w:rPr>
          <w:lang w:val="uk-UA" w:eastAsia="uk-UA"/>
        </w:rPr>
        <w:t>Вважати таким, що втратило чинність рішення виконавчого комітету Тростянецької сільської ради Тростянецької об’єднаної територіальної громади Миколаївського району Львівської області від 26.01.2016 р., №</w:t>
      </w:r>
      <w:r w:rsidR="008E14C7" w:rsidRPr="00C72D17">
        <w:rPr>
          <w:lang w:val="uk-UA" w:eastAsia="uk-UA"/>
        </w:rPr>
        <w:t xml:space="preserve"> </w:t>
      </w:r>
      <w:r w:rsidR="00E63AE0" w:rsidRPr="00C72D17">
        <w:rPr>
          <w:lang w:val="uk-UA" w:eastAsia="uk-UA"/>
        </w:rPr>
        <w:t>07 п.2.</w:t>
      </w:r>
    </w:p>
    <w:p w:rsidR="00E63AE0" w:rsidRPr="00C72D17" w:rsidRDefault="00191DCE" w:rsidP="007707A9">
      <w:pPr>
        <w:jc w:val="both"/>
        <w:rPr>
          <w:lang w:val="uk-UA" w:eastAsia="uk-UA"/>
        </w:rPr>
      </w:pPr>
      <w:r w:rsidRPr="00C72D17">
        <w:rPr>
          <w:lang w:val="uk-UA" w:eastAsia="uk-UA"/>
        </w:rPr>
        <w:t xml:space="preserve">3. </w:t>
      </w:r>
      <w:r w:rsidR="0049107A" w:rsidRPr="00C72D17">
        <w:rPr>
          <w:lang w:val="uk-UA" w:eastAsia="uk-UA"/>
        </w:rPr>
        <w:t xml:space="preserve"> </w:t>
      </w:r>
      <w:r w:rsidR="00E63AE0" w:rsidRPr="00C72D17">
        <w:rPr>
          <w:lang w:val="uk-UA" w:eastAsia="uk-UA"/>
        </w:rPr>
        <w:t xml:space="preserve">Директору МКП </w:t>
      </w:r>
      <w:proofErr w:type="spellStart"/>
      <w:r w:rsidR="00E63AE0" w:rsidRPr="00C72D17">
        <w:rPr>
          <w:lang w:val="uk-UA" w:eastAsia="uk-UA"/>
        </w:rPr>
        <w:t>Миколаївводоканал</w:t>
      </w:r>
      <w:proofErr w:type="spellEnd"/>
      <w:r w:rsidR="00E63AE0" w:rsidRPr="00C72D17">
        <w:rPr>
          <w:lang w:val="uk-UA" w:eastAsia="uk-UA"/>
        </w:rPr>
        <w:t>» В.М. Гичці оприлюднити дане рішення через засоби масової інформації.</w:t>
      </w:r>
    </w:p>
    <w:p w:rsidR="00E63AE0" w:rsidRPr="00C72D17" w:rsidRDefault="00191DCE" w:rsidP="007707A9">
      <w:pPr>
        <w:jc w:val="both"/>
        <w:rPr>
          <w:lang w:val="uk-UA" w:eastAsia="uk-UA"/>
        </w:rPr>
      </w:pPr>
      <w:r w:rsidRPr="00C72D17">
        <w:rPr>
          <w:lang w:val="uk-UA" w:eastAsia="uk-UA"/>
        </w:rPr>
        <w:t>4.</w:t>
      </w:r>
      <w:r w:rsidR="0049107A" w:rsidRPr="00C72D17">
        <w:rPr>
          <w:lang w:val="uk-UA" w:eastAsia="uk-UA"/>
        </w:rPr>
        <w:t xml:space="preserve">  </w:t>
      </w:r>
      <w:r w:rsidRPr="00C72D17">
        <w:rPr>
          <w:lang w:val="uk-UA" w:eastAsia="uk-UA"/>
        </w:rPr>
        <w:t xml:space="preserve"> Дані тарифи вводяться в дію через 15 днів з дня опублікування у засобах масової інформації і діють до встановлення нових тарифів виконавчим комітетом сільської ради.</w:t>
      </w:r>
    </w:p>
    <w:p w:rsidR="008247F0" w:rsidRPr="00C72D17" w:rsidRDefault="008247F0" w:rsidP="00B73751">
      <w:pPr>
        <w:jc w:val="both"/>
        <w:rPr>
          <w:lang w:val="uk-UA" w:eastAsia="uk-UA"/>
        </w:rPr>
      </w:pPr>
    </w:p>
    <w:p w:rsidR="008247F0" w:rsidRPr="00C72D17" w:rsidRDefault="008247F0" w:rsidP="00B73751">
      <w:pPr>
        <w:jc w:val="both"/>
        <w:rPr>
          <w:lang w:val="uk-UA" w:eastAsia="uk-UA"/>
        </w:rPr>
      </w:pPr>
      <w:r w:rsidRPr="00C72D17">
        <w:rPr>
          <w:lang w:val="uk-UA" w:eastAsia="uk-UA"/>
        </w:rPr>
        <w:t xml:space="preserve">  </w:t>
      </w:r>
    </w:p>
    <w:p w:rsidR="008247F0" w:rsidRPr="00C72D17" w:rsidRDefault="008247F0" w:rsidP="00B73751">
      <w:pPr>
        <w:jc w:val="both"/>
        <w:rPr>
          <w:lang w:val="uk-UA" w:eastAsia="uk-UA"/>
        </w:rPr>
      </w:pPr>
      <w:r w:rsidRPr="00C72D17">
        <w:rPr>
          <w:lang w:val="uk-UA" w:eastAsia="uk-UA"/>
        </w:rPr>
        <w:t xml:space="preserve">         Сільський голова:                                                  </w:t>
      </w:r>
      <w:r w:rsidR="00191DCE" w:rsidRPr="00C72D17">
        <w:rPr>
          <w:lang w:val="uk-UA" w:eastAsia="uk-UA"/>
        </w:rPr>
        <w:t xml:space="preserve">Олександра </w:t>
      </w:r>
      <w:proofErr w:type="spellStart"/>
      <w:r w:rsidRPr="00C72D17">
        <w:rPr>
          <w:lang w:val="uk-UA" w:eastAsia="uk-UA"/>
        </w:rPr>
        <w:t>Леницька</w:t>
      </w:r>
      <w:proofErr w:type="spellEnd"/>
      <w:r w:rsidRPr="00C72D17">
        <w:rPr>
          <w:lang w:val="uk-UA" w:eastAsia="uk-UA"/>
        </w:rPr>
        <w:t xml:space="preserve"> </w:t>
      </w:r>
    </w:p>
    <w:p w:rsidR="00C72D17" w:rsidRPr="00C72D17" w:rsidRDefault="00C72D17" w:rsidP="00B73751">
      <w:pPr>
        <w:jc w:val="both"/>
        <w:rPr>
          <w:lang w:val="uk-UA" w:eastAsia="uk-UA"/>
        </w:rPr>
      </w:pPr>
    </w:p>
    <w:p w:rsidR="00C72D17" w:rsidRPr="003C597D" w:rsidRDefault="00C72D17" w:rsidP="00B73751">
      <w:pPr>
        <w:jc w:val="both"/>
        <w:rPr>
          <w:lang w:val="uk-UA"/>
        </w:rPr>
      </w:pPr>
      <w:r w:rsidRPr="003C597D">
        <w:rPr>
          <w:color w:val="333333"/>
          <w:shd w:val="clear" w:color="auto" w:fill="FFFFFF"/>
          <w:lang w:val="uk-UA"/>
        </w:rPr>
        <w:lastRenderedPageBreak/>
        <w:t xml:space="preserve">Пропозиції та зауваження до проекту </w:t>
      </w:r>
      <w:r w:rsidR="003C597D">
        <w:rPr>
          <w:color w:val="333333"/>
          <w:shd w:val="clear" w:color="auto" w:fill="FFFFFF"/>
          <w:lang w:val="uk-UA"/>
        </w:rPr>
        <w:t>рішення</w:t>
      </w:r>
      <w:r w:rsidRPr="003C597D">
        <w:rPr>
          <w:color w:val="333333"/>
          <w:shd w:val="clear" w:color="auto" w:fill="FFFFFF"/>
          <w:lang w:val="uk-UA"/>
        </w:rPr>
        <w:t xml:space="preserve"> приймаються в письмовому вигляді протягом </w:t>
      </w:r>
      <w:r w:rsidR="003C597D">
        <w:rPr>
          <w:color w:val="333333"/>
          <w:shd w:val="clear" w:color="auto" w:fill="FFFFFF"/>
          <w:lang w:val="uk-UA"/>
        </w:rPr>
        <w:t>15</w:t>
      </w:r>
      <w:r w:rsidRPr="003C597D">
        <w:rPr>
          <w:color w:val="333333"/>
          <w:shd w:val="clear" w:color="auto" w:fill="FFFFFF"/>
          <w:lang w:val="uk-UA"/>
        </w:rPr>
        <w:t xml:space="preserve"> календарних днів з дня оприлюднення </w:t>
      </w:r>
      <w:r w:rsidR="003C597D">
        <w:rPr>
          <w:color w:val="333333"/>
          <w:shd w:val="clear" w:color="auto" w:fill="FFFFFF"/>
          <w:lang w:val="uk-UA"/>
        </w:rPr>
        <w:t>даного проекту рішення</w:t>
      </w:r>
      <w:r w:rsidRPr="003C597D">
        <w:rPr>
          <w:color w:val="333333"/>
          <w:shd w:val="clear" w:color="auto" w:fill="FFFFFF"/>
          <w:lang w:val="uk-UA"/>
        </w:rPr>
        <w:t xml:space="preserve"> на офіційному сайті </w:t>
      </w:r>
      <w:r w:rsidR="003C597D">
        <w:rPr>
          <w:color w:val="333333"/>
          <w:shd w:val="clear" w:color="auto" w:fill="FFFFFF"/>
          <w:lang w:val="uk-UA"/>
        </w:rPr>
        <w:t>Тростянецької</w:t>
      </w:r>
      <w:r w:rsidRPr="003C597D">
        <w:rPr>
          <w:color w:val="333333"/>
          <w:shd w:val="clear" w:color="auto" w:fill="FFFFFF"/>
          <w:lang w:val="uk-UA"/>
        </w:rPr>
        <w:t xml:space="preserve"> сільської ради</w:t>
      </w:r>
      <w:r w:rsidR="003C597D">
        <w:rPr>
          <w:color w:val="333333"/>
          <w:shd w:val="clear" w:color="auto" w:fill="FFFFFF"/>
          <w:lang w:val="uk-UA"/>
        </w:rPr>
        <w:t xml:space="preserve"> та у газеті « Громада»,</w:t>
      </w:r>
      <w:r w:rsidRPr="003C597D">
        <w:rPr>
          <w:color w:val="333333"/>
          <w:shd w:val="clear" w:color="auto" w:fill="FFFFFF"/>
          <w:lang w:val="uk-UA"/>
        </w:rPr>
        <w:t xml:space="preserve"> за адресою: вул. </w:t>
      </w:r>
      <w:r w:rsidR="003C597D">
        <w:rPr>
          <w:color w:val="333333"/>
          <w:shd w:val="clear" w:color="auto" w:fill="FFFFFF"/>
          <w:lang w:val="uk-UA"/>
        </w:rPr>
        <w:t>Зелена</w:t>
      </w:r>
      <w:r w:rsidRPr="003C597D">
        <w:rPr>
          <w:color w:val="333333"/>
          <w:shd w:val="clear" w:color="auto" w:fill="FFFFFF"/>
          <w:lang w:val="uk-UA"/>
        </w:rPr>
        <w:t xml:space="preserve">, </w:t>
      </w:r>
      <w:r w:rsidR="003C597D">
        <w:rPr>
          <w:color w:val="333333"/>
          <w:shd w:val="clear" w:color="auto" w:fill="FFFFFF"/>
          <w:lang w:val="uk-UA"/>
        </w:rPr>
        <w:t>2</w:t>
      </w:r>
      <w:r w:rsidRPr="003C597D">
        <w:rPr>
          <w:color w:val="333333"/>
          <w:shd w:val="clear" w:color="auto" w:fill="FFFFFF"/>
          <w:lang w:val="uk-UA"/>
        </w:rPr>
        <w:t xml:space="preserve">, с. </w:t>
      </w:r>
      <w:r w:rsidR="003C597D">
        <w:rPr>
          <w:color w:val="333333"/>
          <w:shd w:val="clear" w:color="auto" w:fill="FFFFFF"/>
          <w:lang w:val="uk-UA"/>
        </w:rPr>
        <w:t>Тростянець</w:t>
      </w:r>
      <w:r w:rsidRPr="003C597D">
        <w:rPr>
          <w:color w:val="333333"/>
          <w:shd w:val="clear" w:color="auto" w:fill="FFFFFF"/>
          <w:lang w:val="uk-UA"/>
        </w:rPr>
        <w:t xml:space="preserve">, </w:t>
      </w:r>
      <w:r w:rsidR="003C597D">
        <w:rPr>
          <w:color w:val="333333"/>
          <w:shd w:val="clear" w:color="auto" w:fill="FFFFFF"/>
          <w:lang w:val="uk-UA"/>
        </w:rPr>
        <w:t>Миколаївського району Львівської області.</w:t>
      </w:r>
    </w:p>
    <w:sectPr w:rsidR="00C72D17" w:rsidRPr="003C597D" w:rsidSect="002066D2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4B"/>
    <w:rsid w:val="00191DCE"/>
    <w:rsid w:val="002066D2"/>
    <w:rsid w:val="00221026"/>
    <w:rsid w:val="002D7803"/>
    <w:rsid w:val="003C597D"/>
    <w:rsid w:val="004314E1"/>
    <w:rsid w:val="0049107A"/>
    <w:rsid w:val="00673E77"/>
    <w:rsid w:val="006C5A4B"/>
    <w:rsid w:val="007707A9"/>
    <w:rsid w:val="007922C2"/>
    <w:rsid w:val="008247F0"/>
    <w:rsid w:val="008E14C7"/>
    <w:rsid w:val="00AA63B8"/>
    <w:rsid w:val="00B73751"/>
    <w:rsid w:val="00C627C7"/>
    <w:rsid w:val="00C72D17"/>
    <w:rsid w:val="00CF6448"/>
    <w:rsid w:val="00E63AE0"/>
    <w:rsid w:val="00E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73751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751"/>
    <w:rPr>
      <w:rFonts w:ascii="Times New Roman" w:eastAsia="Lucida Sans Unicode" w:hAnsi="Times New Roman" w:cs="Times New Roman"/>
      <w:b/>
      <w:bCs/>
      <w:sz w:val="28"/>
      <w:szCs w:val="28"/>
      <w:lang w:val="ru-RU" w:eastAsia="ar-SA"/>
    </w:rPr>
  </w:style>
  <w:style w:type="character" w:styleId="a3">
    <w:name w:val="Strong"/>
    <w:basedOn w:val="a0"/>
    <w:uiPriority w:val="22"/>
    <w:qFormat/>
    <w:rsid w:val="00B73751"/>
    <w:rPr>
      <w:b/>
      <w:bCs/>
    </w:rPr>
  </w:style>
  <w:style w:type="paragraph" w:styleId="a4">
    <w:name w:val="Body Text Indent"/>
    <w:basedOn w:val="a"/>
    <w:link w:val="a5"/>
    <w:rsid w:val="00B73751"/>
    <w:pPr>
      <w:widowControl w:val="0"/>
      <w:suppressAutoHyphens/>
      <w:ind w:left="2694" w:hanging="2694"/>
      <w:jc w:val="both"/>
    </w:pPr>
    <w:rPr>
      <w:rFonts w:eastAsia="Lucida Sans Unicode"/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73751"/>
    <w:rPr>
      <w:rFonts w:ascii="Times New Roman" w:eastAsia="Lucida Sans Unicode" w:hAnsi="Times New Roman" w:cs="Times New Roman"/>
      <w:sz w:val="28"/>
      <w:szCs w:val="28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B73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75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B73751"/>
    <w:pPr>
      <w:spacing w:before="100" w:beforeAutospacing="1" w:after="100" w:afterAutospacing="1"/>
    </w:pPr>
    <w:rPr>
      <w:lang w:val="uk-UA" w:eastAsia="uk-UA"/>
    </w:rPr>
  </w:style>
  <w:style w:type="character" w:customStyle="1" w:styleId="apple-tab-span">
    <w:name w:val="apple-tab-span"/>
    <w:basedOn w:val="a0"/>
    <w:rsid w:val="00B73751"/>
  </w:style>
  <w:style w:type="character" w:customStyle="1" w:styleId="apple-converted-space">
    <w:name w:val="apple-converted-space"/>
    <w:basedOn w:val="a0"/>
    <w:rsid w:val="00B73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73751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751"/>
    <w:rPr>
      <w:rFonts w:ascii="Times New Roman" w:eastAsia="Lucida Sans Unicode" w:hAnsi="Times New Roman" w:cs="Times New Roman"/>
      <w:b/>
      <w:bCs/>
      <w:sz w:val="28"/>
      <w:szCs w:val="28"/>
      <w:lang w:val="ru-RU" w:eastAsia="ar-SA"/>
    </w:rPr>
  </w:style>
  <w:style w:type="character" w:styleId="a3">
    <w:name w:val="Strong"/>
    <w:basedOn w:val="a0"/>
    <w:uiPriority w:val="22"/>
    <w:qFormat/>
    <w:rsid w:val="00B73751"/>
    <w:rPr>
      <w:b/>
      <w:bCs/>
    </w:rPr>
  </w:style>
  <w:style w:type="paragraph" w:styleId="a4">
    <w:name w:val="Body Text Indent"/>
    <w:basedOn w:val="a"/>
    <w:link w:val="a5"/>
    <w:rsid w:val="00B73751"/>
    <w:pPr>
      <w:widowControl w:val="0"/>
      <w:suppressAutoHyphens/>
      <w:ind w:left="2694" w:hanging="2694"/>
      <w:jc w:val="both"/>
    </w:pPr>
    <w:rPr>
      <w:rFonts w:eastAsia="Lucida Sans Unicode"/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73751"/>
    <w:rPr>
      <w:rFonts w:ascii="Times New Roman" w:eastAsia="Lucida Sans Unicode" w:hAnsi="Times New Roman" w:cs="Times New Roman"/>
      <w:sz w:val="28"/>
      <w:szCs w:val="28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B73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75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B73751"/>
    <w:pPr>
      <w:spacing w:before="100" w:beforeAutospacing="1" w:after="100" w:afterAutospacing="1"/>
    </w:pPr>
    <w:rPr>
      <w:lang w:val="uk-UA" w:eastAsia="uk-UA"/>
    </w:rPr>
  </w:style>
  <w:style w:type="character" w:customStyle="1" w:styleId="apple-tab-span">
    <w:name w:val="apple-tab-span"/>
    <w:basedOn w:val="a0"/>
    <w:rsid w:val="00B73751"/>
  </w:style>
  <w:style w:type="character" w:customStyle="1" w:styleId="apple-converted-space">
    <w:name w:val="apple-converted-space"/>
    <w:basedOn w:val="a0"/>
    <w:rsid w:val="00B7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1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1535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2017-10-06T12:47:00Z</cp:lastPrinted>
  <dcterms:created xsi:type="dcterms:W3CDTF">2017-10-05T07:17:00Z</dcterms:created>
  <dcterms:modified xsi:type="dcterms:W3CDTF">2017-10-06T12:49:00Z</dcterms:modified>
</cp:coreProperties>
</file>