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3D" w:rsidRPr="00F51C5F" w:rsidRDefault="002A7E3D" w:rsidP="002A7E3D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lang w:val="ru-RU" w:eastAsia="ru-RU"/>
        </w:rPr>
      </w:pPr>
      <w:r w:rsidRPr="00F51C5F">
        <w:rPr>
          <w:rFonts w:ascii="Times New Roman" w:eastAsia="Calibri" w:hAnsi="Times New Roman" w:cs="Times New Roman"/>
          <w:lang w:val="ru-RU" w:eastAsia="ru-RU"/>
        </w:rPr>
        <w:t>ЗАТВЕРДЖЕНО:</w:t>
      </w:r>
    </w:p>
    <w:p w:rsidR="002A7E3D" w:rsidRPr="00F51C5F" w:rsidRDefault="002A7E3D" w:rsidP="002A7E3D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F51C5F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F51C5F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F51C5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F51C5F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2A7E3D" w:rsidRPr="002A7E3D" w:rsidRDefault="002A7E3D" w:rsidP="002A7E3D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F51C5F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F51C5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2A7E3D" w:rsidRPr="002A7E3D" w:rsidRDefault="002A7E3D" w:rsidP="002A7E3D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2A7E3D" w:rsidRPr="002A7E3D" w:rsidRDefault="002A7E3D" w:rsidP="002A7E3D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2A7E3D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2A7E3D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2A7E3D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2A7E3D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2A7E3D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2A7E3D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2A7E3D" w:rsidRPr="002A7E3D" w:rsidRDefault="002A7E3D" w:rsidP="002A7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E3D" w:rsidRPr="002A7E3D" w:rsidRDefault="002A7E3D" w:rsidP="002A7E3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A7E3D">
        <w:rPr>
          <w:rFonts w:ascii="Times New Roman" w:eastAsia="Calibri" w:hAnsi="Times New Roman" w:cs="Times New Roman"/>
          <w:b/>
          <w:caps/>
          <w:sz w:val="24"/>
          <w:szCs w:val="24"/>
        </w:rPr>
        <w:t>інформаційна  картка  адміністративної  послуги:</w:t>
      </w:r>
    </w:p>
    <w:p w:rsidR="002A7E3D" w:rsidRDefault="002A7E3D" w:rsidP="002A7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E3D" w:rsidRPr="00F51C5F" w:rsidRDefault="002A7E3D" w:rsidP="002A7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C5F">
        <w:rPr>
          <w:rFonts w:ascii="Times New Roman" w:hAnsi="Times New Roman" w:cs="Times New Roman"/>
          <w:b/>
          <w:sz w:val="24"/>
          <w:szCs w:val="24"/>
        </w:rPr>
        <w:t xml:space="preserve">Державна реєстрація створення (змін до відомостей, припинення) відокремленого підрозділу юридичної особи </w:t>
      </w:r>
    </w:p>
    <w:p w:rsidR="002A7E3D" w:rsidRPr="00CF0A30" w:rsidRDefault="002A7E3D" w:rsidP="002A7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2A7E3D" w:rsidRPr="002A7E3D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3D" w:rsidRPr="00CF0A30" w:rsidRDefault="002A7E3D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  <w:p w:rsidR="002A7E3D" w:rsidRPr="002A7E3D" w:rsidRDefault="002A7E3D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3D" w:rsidRPr="002A7E3D" w:rsidRDefault="00F51C5F" w:rsidP="00F51C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Інформація про ЦНАП </w:t>
            </w:r>
            <w:bookmarkStart w:id="0" w:name="_GoBack"/>
            <w:bookmarkEnd w:id="0"/>
            <w:r w:rsidR="002A7E3D" w:rsidRPr="002A7E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E3D" w:rsidRPr="00DF5CE0" w:rsidRDefault="002A7E3D" w:rsidP="002A7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5C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DF5C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обʼєднаної</w:t>
            </w:r>
            <w:proofErr w:type="spellEnd"/>
            <w:r w:rsidRPr="00DF5C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територіальної громади Миколаївського району Львівської області</w:t>
            </w:r>
          </w:p>
          <w:p w:rsidR="002A7E3D" w:rsidRPr="00DF5CE0" w:rsidRDefault="002A7E3D" w:rsidP="002A7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7E3D" w:rsidRPr="00DF5CE0" w:rsidRDefault="002A7E3D" w:rsidP="002A7E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5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Львівська область, Миколаївський район, </w:t>
            </w:r>
            <w:proofErr w:type="spellStart"/>
            <w:r w:rsidRPr="00DF5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с.Тростянець</w:t>
            </w:r>
            <w:proofErr w:type="spellEnd"/>
            <w:r w:rsidRPr="00DF5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F5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вул.Зелена</w:t>
            </w:r>
            <w:proofErr w:type="spellEnd"/>
            <w:r w:rsidRPr="00DF5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2.</w:t>
            </w:r>
          </w:p>
          <w:p w:rsidR="002A7E3D" w:rsidRPr="00DF5CE0" w:rsidRDefault="002A7E3D" w:rsidP="002A7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5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(241)- 50-555</w:t>
            </w:r>
          </w:p>
          <w:p w:rsidR="002A7E3D" w:rsidRPr="00DF5CE0" w:rsidRDefault="002A7E3D" w:rsidP="002A7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 w:eastAsia="en-US"/>
              </w:rPr>
            </w:pPr>
            <w:r w:rsidRPr="00DF5C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Електронна адреса: </w:t>
            </w:r>
            <w:hyperlink r:id="rId6" w:history="1">
              <w:r w:rsidRPr="00DF5CE0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en-US"/>
                </w:rPr>
                <w:t>cnap</w:t>
              </w:r>
              <w:r w:rsidRPr="00DF5CE0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en-US"/>
                </w:rPr>
                <w:t>.</w:t>
              </w:r>
              <w:r w:rsidRPr="00DF5CE0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en-US"/>
                </w:rPr>
                <w:t>otg</w:t>
              </w:r>
              <w:r w:rsidRPr="00DF5CE0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en-US"/>
                </w:rPr>
                <w:t>@</w:t>
              </w:r>
              <w:r w:rsidRPr="00DF5CE0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en-US"/>
                </w:rPr>
                <w:t>gmail</w:t>
              </w:r>
              <w:r w:rsidRPr="00DF5CE0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en-US"/>
                </w:rPr>
                <w:t>.</w:t>
              </w:r>
              <w:r w:rsidRPr="00DF5CE0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2A7E3D" w:rsidRPr="00DF5CE0" w:rsidRDefault="002A7E3D" w:rsidP="002A7E3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en-US"/>
              </w:rPr>
            </w:pPr>
          </w:p>
          <w:p w:rsidR="002A7E3D" w:rsidRPr="00DF5CE0" w:rsidRDefault="002A7E3D" w:rsidP="002A7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5C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2A7E3D" w:rsidRPr="00DF5CE0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2A7E3D" w:rsidRPr="00DF5CE0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2A7E3D" w:rsidRPr="00DF5CE0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2A7E3D" w:rsidRPr="00DF5CE0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2A7E3D" w:rsidRPr="00DF5CE0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A7E3D" w:rsidRPr="00DF5CE0" w:rsidRDefault="002A7E3D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2A7E3D" w:rsidRPr="00DF5CE0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2A7E3D" w:rsidRPr="00DF5CE0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2A7E3D" w:rsidRPr="00DF5CE0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7E3D" w:rsidRPr="00DF5CE0" w:rsidRDefault="002A7E3D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2A7E3D" w:rsidRPr="002A7E3D" w:rsidRDefault="002A7E3D" w:rsidP="009D1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3D" w:rsidRPr="002A7E3D" w:rsidTr="009D1459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3D" w:rsidRPr="002A7E3D" w:rsidRDefault="002A7E3D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3D" w:rsidRPr="002A7E3D" w:rsidRDefault="002A7E3D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E3D" w:rsidRPr="002A7E3D" w:rsidRDefault="002A7E3D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5"/>
              <w:rPr>
                <w:rFonts w:ascii="Times New Roman" w:hAnsi="Times New Roman"/>
                <w:sz w:val="24"/>
                <w:szCs w:val="24"/>
              </w:rPr>
            </w:pPr>
            <w:r w:rsidRPr="002A7E3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A7E3D">
              <w:rPr>
                <w:rFonts w:ascii="Times New Roman" w:hAnsi="Times New Roman"/>
                <w:b/>
                <w:sz w:val="24"/>
                <w:szCs w:val="24"/>
              </w:rPr>
              <w:t>Заява</w:t>
            </w:r>
            <w:r w:rsidRPr="002A7E3D">
              <w:rPr>
                <w:rFonts w:ascii="Times New Roman" w:hAnsi="Times New Roman"/>
                <w:sz w:val="24"/>
                <w:szCs w:val="24"/>
              </w:rPr>
              <w:t xml:space="preserve"> про державну реєстрацію створення відокремленого підрозділу юридичної особи (затвердженої форми);</w:t>
            </w:r>
          </w:p>
          <w:p w:rsidR="002A7E3D" w:rsidRPr="002A7E3D" w:rsidRDefault="002A7E3D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5"/>
              <w:rPr>
                <w:rFonts w:ascii="Times New Roman" w:hAnsi="Times New Roman"/>
                <w:sz w:val="24"/>
                <w:szCs w:val="24"/>
              </w:rPr>
            </w:pPr>
            <w:r w:rsidRPr="002A7E3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A7E3D">
              <w:rPr>
                <w:rFonts w:ascii="Times New Roman" w:hAnsi="Times New Roman"/>
                <w:b/>
                <w:sz w:val="24"/>
                <w:szCs w:val="24"/>
              </w:rPr>
              <w:t xml:space="preserve">Примірник оригіналу </w:t>
            </w:r>
            <w:r w:rsidRPr="002A7E3D">
              <w:rPr>
                <w:rFonts w:ascii="Times New Roman" w:hAnsi="Times New Roman"/>
                <w:sz w:val="24"/>
                <w:szCs w:val="24"/>
              </w:rPr>
              <w:t xml:space="preserve">(нотаріально засвідчена копія) рішення уповноваженого органу управління юридичної особи </w:t>
            </w:r>
            <w:r w:rsidRPr="002A7E3D">
              <w:rPr>
                <w:rFonts w:ascii="Times New Roman" w:hAnsi="Times New Roman"/>
                <w:b/>
                <w:sz w:val="24"/>
                <w:szCs w:val="24"/>
              </w:rPr>
              <w:t>про створення відокремленого підрозділу</w:t>
            </w:r>
            <w:r w:rsidRPr="002A7E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7E3D" w:rsidRPr="002A7E3D" w:rsidRDefault="002A7E3D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5"/>
              <w:rPr>
                <w:rFonts w:ascii="Times New Roman" w:hAnsi="Times New Roman"/>
                <w:sz w:val="24"/>
                <w:szCs w:val="24"/>
              </w:rPr>
            </w:pPr>
            <w:r w:rsidRPr="002A7E3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A7E3D">
              <w:rPr>
                <w:rFonts w:ascii="Times New Roman" w:hAnsi="Times New Roman"/>
                <w:b/>
                <w:sz w:val="24"/>
                <w:szCs w:val="24"/>
              </w:rPr>
              <w:t>Примірник оригіналу</w:t>
            </w:r>
            <w:r w:rsidRPr="002A7E3D">
              <w:rPr>
                <w:rFonts w:ascii="Times New Roman" w:hAnsi="Times New Roman"/>
                <w:sz w:val="24"/>
                <w:szCs w:val="24"/>
              </w:rPr>
              <w:t xml:space="preserve"> (нотаріально засвідчена копія) документа, </w:t>
            </w:r>
            <w:r w:rsidRPr="002A7E3D">
              <w:rPr>
                <w:rFonts w:ascii="Times New Roman" w:hAnsi="Times New Roman"/>
                <w:b/>
                <w:sz w:val="24"/>
                <w:szCs w:val="24"/>
              </w:rPr>
              <w:t>що засвідчує повноваження представника засновника</w:t>
            </w:r>
            <w:r w:rsidRPr="002A7E3D">
              <w:rPr>
                <w:rFonts w:ascii="Times New Roman" w:hAnsi="Times New Roman"/>
                <w:sz w:val="24"/>
                <w:szCs w:val="24"/>
              </w:rPr>
              <w:t xml:space="preserve">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2A7E3D" w:rsidRPr="002A7E3D" w:rsidRDefault="002A7E3D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5"/>
              <w:rPr>
                <w:rFonts w:ascii="Times New Roman" w:hAnsi="Times New Roman"/>
                <w:sz w:val="24"/>
                <w:szCs w:val="24"/>
              </w:rPr>
            </w:pPr>
            <w:r w:rsidRPr="002A7E3D">
              <w:rPr>
                <w:rFonts w:ascii="Times New Roman" w:hAnsi="Times New Roman"/>
                <w:sz w:val="24"/>
                <w:szCs w:val="24"/>
              </w:rPr>
              <w:t>5.</w:t>
            </w:r>
            <w:r w:rsidRPr="002A7E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7E3D">
              <w:rPr>
                <w:rFonts w:ascii="Times New Roman" w:hAnsi="Times New Roman"/>
                <w:b/>
                <w:i/>
                <w:sz w:val="24"/>
                <w:szCs w:val="24"/>
              </w:rPr>
              <w:t>Якщо документи подаються особисто</w:t>
            </w:r>
            <w:r w:rsidRPr="002A7E3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2A7E3D">
              <w:rPr>
                <w:rFonts w:ascii="Times New Roman" w:hAnsi="Times New Roman"/>
                <w:sz w:val="24"/>
                <w:szCs w:val="24"/>
              </w:rPr>
              <w:t xml:space="preserve"> заявник </w:t>
            </w:r>
            <w:r w:rsidRPr="002A7E3D">
              <w:rPr>
                <w:rFonts w:ascii="Times New Roman" w:hAnsi="Times New Roman"/>
                <w:b/>
                <w:sz w:val="24"/>
                <w:szCs w:val="24"/>
              </w:rPr>
              <w:t>пред'являє</w:t>
            </w:r>
            <w:r w:rsidRPr="002A7E3D">
              <w:rPr>
                <w:rFonts w:ascii="Times New Roman" w:hAnsi="Times New Roman"/>
                <w:sz w:val="24"/>
                <w:szCs w:val="24"/>
              </w:rPr>
              <w:t xml:space="preserve"> свій паспорт 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 або тимчасове проживання</w:t>
            </w:r>
          </w:p>
          <w:p w:rsidR="002A7E3D" w:rsidRPr="002A7E3D" w:rsidRDefault="002A7E3D" w:rsidP="009D1459">
            <w:pPr>
              <w:spacing w:after="0" w:line="240" w:lineRule="auto"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A7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E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разі подання документів представником</w:t>
            </w:r>
            <w:r w:rsidRPr="002A7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E3D">
              <w:rPr>
                <w:rFonts w:ascii="Times New Roman" w:hAnsi="Times New Roman" w:cs="Times New Roman"/>
                <w:i/>
                <w:sz w:val="24"/>
                <w:szCs w:val="24"/>
              </w:rPr>
              <w:t>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формувань),</w:t>
            </w:r>
            <w:r w:rsidRPr="002A7E3D">
              <w:rPr>
                <w:rFonts w:ascii="Times New Roman" w:hAnsi="Times New Roman" w:cs="Times New Roman"/>
                <w:sz w:val="24"/>
                <w:szCs w:val="24"/>
              </w:rPr>
              <w:t xml:space="preserve"> додатково подається примірник оригіналу </w:t>
            </w:r>
            <w:r w:rsidRPr="002A7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(нотаріально засвідчена копія) документа, що засвідчує його повноваження.</w:t>
            </w:r>
          </w:p>
        </w:tc>
      </w:tr>
      <w:tr w:rsidR="002A7E3D" w:rsidRPr="002A7E3D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3D" w:rsidRPr="002A7E3D" w:rsidRDefault="002A7E3D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3D" w:rsidRPr="002A7E3D" w:rsidRDefault="002A7E3D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E3D" w:rsidRPr="002A7E3D" w:rsidRDefault="002A7E3D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2A7E3D" w:rsidRPr="002A7E3D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3D" w:rsidRPr="002A7E3D" w:rsidRDefault="002A7E3D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3D" w:rsidRPr="002A7E3D" w:rsidRDefault="002A7E3D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E3D" w:rsidRDefault="002A7E3D" w:rsidP="009D145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</w:t>
            </w:r>
          </w:p>
          <w:p w:rsidR="00CF0A30" w:rsidRPr="00CF0A30" w:rsidRDefault="00CF0A30" w:rsidP="00CF0A30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A30">
              <w:rPr>
                <w:rFonts w:ascii="Times New Roman" w:hAnsi="Times New Roman" w:cs="Times New Roman"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CF0A30" w:rsidRPr="002A7E3D" w:rsidRDefault="00CF0A30" w:rsidP="00CF0A30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F0A30">
              <w:rPr>
                <w:rFonts w:ascii="Times New Roman" w:hAnsi="Times New Roman" w:cs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2A7E3D" w:rsidRPr="002A7E3D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3D" w:rsidRPr="002A7E3D" w:rsidRDefault="002A7E3D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3D" w:rsidRPr="002A7E3D" w:rsidRDefault="002A7E3D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Строк надання послуги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E3D" w:rsidRPr="002A7E3D" w:rsidRDefault="002A7E3D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24 годин</w:t>
            </w:r>
            <w:r w:rsidRPr="002A7E3D">
              <w:rPr>
                <w:rFonts w:ascii="Times New Roman" w:hAnsi="Times New Roman" w:cs="Times New Roman"/>
                <w:sz w:val="24"/>
                <w:szCs w:val="24"/>
              </w:rPr>
              <w:t xml:space="preserve"> після надходження документів, крім вихідних та святкових днів, за відсутності підстав для зупинення розгляду документів та відмови у державній реєстрації</w:t>
            </w:r>
          </w:p>
          <w:p w:rsidR="002A7E3D" w:rsidRPr="002A7E3D" w:rsidRDefault="002A7E3D" w:rsidP="009D1459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i/>
                <w:sz w:val="24"/>
                <w:szCs w:val="24"/>
              </w:rPr>
              <w:t>Строк зупинення розгляду документів, поданих для державної реєстрації, становить 15 календарних днів з дати їх подання</w:t>
            </w:r>
          </w:p>
        </w:tc>
      </w:tr>
      <w:tr w:rsidR="002A7E3D" w:rsidRPr="002A7E3D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3D" w:rsidRPr="002A7E3D" w:rsidRDefault="002A7E3D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3D" w:rsidRPr="002A7E3D" w:rsidRDefault="002A7E3D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E3D" w:rsidRDefault="002A7E3D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2A7E3D">
              <w:rPr>
                <w:rFonts w:ascii="Times New Roman" w:hAnsi="Times New Roman"/>
                <w:b/>
                <w:sz w:val="24"/>
                <w:szCs w:val="24"/>
              </w:rPr>
              <w:t>Результати надання адміністративної послуги</w:t>
            </w:r>
            <w:r w:rsidRPr="002A7E3D">
              <w:rPr>
                <w:rFonts w:ascii="Times New Roman" w:hAnsi="Times New Roman"/>
                <w:sz w:val="24"/>
                <w:szCs w:val="24"/>
              </w:rPr>
              <w:t xml:space="preserve"> у сфері державної реєстрації (у тому числі виписка з Єдиного державного реєстру юридичних осіб, фізичних осіб – підприємців та громадських формувань та установчий документ юридичної особи) </w:t>
            </w:r>
            <w:r w:rsidRPr="002A7E3D">
              <w:rPr>
                <w:rFonts w:ascii="Times New Roman" w:hAnsi="Times New Roman"/>
                <w:b/>
                <w:sz w:val="24"/>
                <w:szCs w:val="24"/>
              </w:rPr>
              <w:t>оприлюднюються на порталі електронних сервісів</w:t>
            </w:r>
            <w:r w:rsidRPr="002A7E3D">
              <w:rPr>
                <w:rFonts w:ascii="Times New Roman" w:hAnsi="Times New Roman"/>
                <w:sz w:val="24"/>
                <w:szCs w:val="24"/>
              </w:rPr>
              <w:t xml:space="preserve"> та доступні для їх пошуку за кодом доступу.</w:t>
            </w:r>
          </w:p>
          <w:p w:rsidR="00CF0A30" w:rsidRPr="00D53418" w:rsidRDefault="00CF0A30" w:rsidP="00CF0A30">
            <w:pPr>
              <w:pStyle w:val="a4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2A7E3D" w:rsidRPr="002A7E3D" w:rsidRDefault="002A7E3D" w:rsidP="009D1459">
            <w:pPr>
              <w:spacing w:after="0" w:line="240" w:lineRule="auto"/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разі відмови у державній реєстрації</w:t>
            </w:r>
            <w:r w:rsidRPr="002A7E3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2A7E3D" w:rsidRPr="002A7E3D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3D" w:rsidRPr="002A7E3D" w:rsidRDefault="002A7E3D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3D" w:rsidRPr="002A7E3D" w:rsidRDefault="002A7E3D" w:rsidP="009D14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E3D" w:rsidRPr="002A7E3D" w:rsidRDefault="002A7E3D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sz w:val="24"/>
                <w:szCs w:val="24"/>
              </w:rPr>
              <w:t xml:space="preserve">    1. Закон України «Про державну реєстрацію юридичних осіб, фізичних осіб – підприємців та громадських формувань» </w:t>
            </w:r>
          </w:p>
          <w:p w:rsidR="002A7E3D" w:rsidRPr="002A7E3D" w:rsidRDefault="002A7E3D" w:rsidP="009D1459">
            <w:pPr>
              <w:pStyle w:val="1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2A7E3D">
              <w:rPr>
                <w:rFonts w:ascii="Times New Roman" w:hAnsi="Times New Roman"/>
                <w:sz w:val="24"/>
                <w:szCs w:val="24"/>
              </w:rPr>
              <w:t>2. Наказ Міністерства юстиції України від 06.01.2016 № 15/5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06.01.2016 за № 14/28144;</w:t>
            </w:r>
          </w:p>
          <w:p w:rsidR="002A7E3D" w:rsidRPr="002A7E3D" w:rsidRDefault="002A7E3D" w:rsidP="009D1459">
            <w:pPr>
              <w:pStyle w:val="1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2A7E3D">
              <w:rPr>
                <w:rFonts w:ascii="Times New Roman" w:hAnsi="Times New Roman"/>
                <w:sz w:val="24"/>
                <w:szCs w:val="24"/>
              </w:rPr>
              <w:t>3.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2A7E3D" w:rsidRPr="002A7E3D" w:rsidRDefault="002A7E3D" w:rsidP="009D1459">
            <w:pPr>
              <w:pStyle w:val="1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2A7E3D">
              <w:rPr>
                <w:rFonts w:ascii="Times New Roman" w:hAnsi="Times New Roman"/>
                <w:sz w:val="24"/>
                <w:szCs w:val="24"/>
              </w:rPr>
              <w:t xml:space="preserve">4.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</w:t>
            </w:r>
            <w:r w:rsidRPr="002A7E3D">
              <w:rPr>
                <w:rFonts w:ascii="Times New Roman" w:hAnsi="Times New Roman"/>
                <w:sz w:val="24"/>
                <w:szCs w:val="24"/>
              </w:rPr>
              <w:lastRenderedPageBreak/>
              <w:t>статусу юридичної особи», зареєстрований у Міністерстві юстиції України 23.03.2016 за № 427/28557;</w:t>
            </w:r>
          </w:p>
          <w:p w:rsidR="002A7E3D" w:rsidRPr="002A7E3D" w:rsidRDefault="002A7E3D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3D">
              <w:rPr>
                <w:rFonts w:ascii="Times New Roman" w:hAnsi="Times New Roman" w:cs="Times New Roman"/>
                <w:sz w:val="24"/>
                <w:szCs w:val="24"/>
              </w:rPr>
              <w:t xml:space="preserve">     5. 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</w:tbl>
    <w:p w:rsidR="002A7E3D" w:rsidRPr="002A7E3D" w:rsidRDefault="002A7E3D" w:rsidP="002A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9E7" w:rsidRPr="002A7E3D" w:rsidRDefault="006919E7">
      <w:pPr>
        <w:rPr>
          <w:rFonts w:ascii="Times New Roman" w:hAnsi="Times New Roman" w:cs="Times New Roman"/>
          <w:sz w:val="24"/>
          <w:szCs w:val="24"/>
        </w:rPr>
      </w:pPr>
    </w:p>
    <w:sectPr w:rsidR="006919E7" w:rsidRPr="002A7E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18"/>
    <w:rsid w:val="0000517A"/>
    <w:rsid w:val="0004500F"/>
    <w:rsid w:val="00045668"/>
    <w:rsid w:val="00046218"/>
    <w:rsid w:val="00084D74"/>
    <w:rsid w:val="000B2616"/>
    <w:rsid w:val="000C2C58"/>
    <w:rsid w:val="000D002E"/>
    <w:rsid w:val="000F3073"/>
    <w:rsid w:val="000F7FBE"/>
    <w:rsid w:val="00137D96"/>
    <w:rsid w:val="00143F81"/>
    <w:rsid w:val="00161085"/>
    <w:rsid w:val="001657FA"/>
    <w:rsid w:val="001718D1"/>
    <w:rsid w:val="00171DE0"/>
    <w:rsid w:val="001B2D33"/>
    <w:rsid w:val="001B7C98"/>
    <w:rsid w:val="001C0BBE"/>
    <w:rsid w:val="001C5747"/>
    <w:rsid w:val="00210C36"/>
    <w:rsid w:val="00232431"/>
    <w:rsid w:val="00237B98"/>
    <w:rsid w:val="00274462"/>
    <w:rsid w:val="00285A18"/>
    <w:rsid w:val="002A7E3D"/>
    <w:rsid w:val="002B0216"/>
    <w:rsid w:val="002E77F4"/>
    <w:rsid w:val="002F4DC4"/>
    <w:rsid w:val="00312ECE"/>
    <w:rsid w:val="00323C50"/>
    <w:rsid w:val="003555D7"/>
    <w:rsid w:val="00357F45"/>
    <w:rsid w:val="003659DA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2F2A"/>
    <w:rsid w:val="00411B15"/>
    <w:rsid w:val="00424653"/>
    <w:rsid w:val="0043153F"/>
    <w:rsid w:val="00431653"/>
    <w:rsid w:val="004361A1"/>
    <w:rsid w:val="00457E1E"/>
    <w:rsid w:val="00460158"/>
    <w:rsid w:val="0048161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D0431"/>
    <w:rsid w:val="00617E40"/>
    <w:rsid w:val="00623A93"/>
    <w:rsid w:val="00624236"/>
    <w:rsid w:val="00663A2F"/>
    <w:rsid w:val="00691382"/>
    <w:rsid w:val="006919E7"/>
    <w:rsid w:val="00695C68"/>
    <w:rsid w:val="006B1F5F"/>
    <w:rsid w:val="006D0051"/>
    <w:rsid w:val="007069D1"/>
    <w:rsid w:val="00710C61"/>
    <w:rsid w:val="00737BBA"/>
    <w:rsid w:val="00772495"/>
    <w:rsid w:val="0077365B"/>
    <w:rsid w:val="007753F1"/>
    <w:rsid w:val="007A0872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A2354"/>
    <w:rsid w:val="008E7746"/>
    <w:rsid w:val="008F6185"/>
    <w:rsid w:val="008F788B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C6CD0"/>
    <w:rsid w:val="009D4127"/>
    <w:rsid w:val="009E1FCD"/>
    <w:rsid w:val="00A00C25"/>
    <w:rsid w:val="00A03B3E"/>
    <w:rsid w:val="00A2365F"/>
    <w:rsid w:val="00A318FF"/>
    <w:rsid w:val="00A52AAA"/>
    <w:rsid w:val="00A678E5"/>
    <w:rsid w:val="00AA2E4C"/>
    <w:rsid w:val="00AB2DB7"/>
    <w:rsid w:val="00AB5635"/>
    <w:rsid w:val="00AC136F"/>
    <w:rsid w:val="00AC6CF0"/>
    <w:rsid w:val="00B97461"/>
    <w:rsid w:val="00C0029A"/>
    <w:rsid w:val="00C00C89"/>
    <w:rsid w:val="00C36633"/>
    <w:rsid w:val="00C36642"/>
    <w:rsid w:val="00C42368"/>
    <w:rsid w:val="00C51D63"/>
    <w:rsid w:val="00C671A8"/>
    <w:rsid w:val="00C70BA0"/>
    <w:rsid w:val="00C843E3"/>
    <w:rsid w:val="00C904A4"/>
    <w:rsid w:val="00CB0510"/>
    <w:rsid w:val="00CB1E58"/>
    <w:rsid w:val="00CC18B1"/>
    <w:rsid w:val="00CC3B5D"/>
    <w:rsid w:val="00CE4955"/>
    <w:rsid w:val="00CE7058"/>
    <w:rsid w:val="00CF0A30"/>
    <w:rsid w:val="00CF7568"/>
    <w:rsid w:val="00D15A27"/>
    <w:rsid w:val="00D22CBD"/>
    <w:rsid w:val="00D4355E"/>
    <w:rsid w:val="00D54212"/>
    <w:rsid w:val="00D66D02"/>
    <w:rsid w:val="00D703BA"/>
    <w:rsid w:val="00D84DE7"/>
    <w:rsid w:val="00D86B91"/>
    <w:rsid w:val="00DA0BE6"/>
    <w:rsid w:val="00DB3900"/>
    <w:rsid w:val="00EA67BA"/>
    <w:rsid w:val="00EC2E7F"/>
    <w:rsid w:val="00ED27DD"/>
    <w:rsid w:val="00F040C4"/>
    <w:rsid w:val="00F07662"/>
    <w:rsid w:val="00F277E1"/>
    <w:rsid w:val="00F51C5F"/>
    <w:rsid w:val="00F61B90"/>
    <w:rsid w:val="00F6237E"/>
    <w:rsid w:val="00F837B1"/>
    <w:rsid w:val="00FC2130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3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2A7E3D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2A7E3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F0A3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3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2A7E3D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2A7E3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F0A3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.ot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3398</Words>
  <Characters>1938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2017-11-01T12:27:00Z</dcterms:created>
  <dcterms:modified xsi:type="dcterms:W3CDTF">2018-01-24T10:16:00Z</dcterms:modified>
</cp:coreProperties>
</file>