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0C" w:rsidRDefault="00C7290C" w:rsidP="00C7290C">
      <w:pPr>
        <w:jc w:val="center"/>
        <w:rPr>
          <w:rFonts w:cs="Calibri"/>
          <w:b/>
          <w:bCs/>
        </w:rPr>
      </w:pPr>
      <w:r>
        <w:rPr>
          <w:rFonts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0C" w:rsidRDefault="00C7290C" w:rsidP="00C72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C7290C" w:rsidRDefault="00C7290C" w:rsidP="00C72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C7290C" w:rsidRDefault="00C7290C" w:rsidP="00C72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C7290C" w:rsidRDefault="00C7290C" w:rsidP="00C72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proofErr w:type="gramStart"/>
      <w:r>
        <w:rPr>
          <w:rFonts w:ascii="Times New Roman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C7290C" w:rsidRDefault="00C7290C" w:rsidP="00C7290C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C7290C" w:rsidRDefault="00C7290C" w:rsidP="00C7290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C7290C" w:rsidRDefault="00C7290C" w:rsidP="00C7290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C7290C" w:rsidRDefault="00C7290C" w:rsidP="00C7290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 листопада</w:t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2018 року</w:t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 w:rsidR="0057689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2292</w:t>
      </w:r>
      <w:proofErr w:type="gramEnd"/>
    </w:p>
    <w:p w:rsidR="00C7290C" w:rsidRDefault="00C7290C" w:rsidP="00C7290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створення ініціативної групи</w:t>
      </w:r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 розвитку туризму на території</w:t>
      </w:r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сільської ради</w:t>
      </w:r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єднаної</w:t>
      </w:r>
      <w:proofErr w:type="spellEnd"/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територіальної громади</w:t>
      </w:r>
    </w:p>
    <w:p w:rsidR="00C7290C" w:rsidRDefault="00C7290C" w:rsidP="00C7290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розвитку туризму на території Тростянецької сільської ради, виконання дорожньої карти розвитку малого та середнього підприємництва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громади,  статті 26  Закону України «Про місцеве самоврядування в Україні», сільська рада</w:t>
      </w:r>
    </w:p>
    <w:p w:rsidR="00C7290C" w:rsidRDefault="00C7290C" w:rsidP="00C7290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Створити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ініціативну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групу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Тростянецької сільської ради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в кількості 15 чоловік у складі згідно з додатком 1.</w:t>
      </w: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положення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ініціативну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групу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Тростянецької сільської ради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згідно з додатком 2.</w:t>
      </w: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C7290C" w:rsidRDefault="00C7290C" w:rsidP="00C7290C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290C" w:rsidRDefault="00C7290C" w:rsidP="00C7290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C7290C" w:rsidRDefault="00C7290C" w:rsidP="00C7290C"/>
    <w:p w:rsidR="00C7290C" w:rsidRDefault="00C7290C" w:rsidP="00C7290C"/>
    <w:p w:rsidR="00C7290C" w:rsidRDefault="00C7290C" w:rsidP="00C7290C"/>
    <w:p w:rsidR="00C7290C" w:rsidRDefault="00C7290C" w:rsidP="00C7290C"/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Додаток  1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до рішення  Тростянецької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сільської ради №</w:t>
      </w:r>
      <w:r w:rsidR="00576893">
        <w:rPr>
          <w:rFonts w:ascii="Times New Roman" w:hAnsi="Times New Roman"/>
          <w:sz w:val="24"/>
          <w:szCs w:val="24"/>
        </w:rPr>
        <w:t xml:space="preserve"> 2292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від  15 листопада  2018  року 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</w:p>
    <w:p w:rsidR="00C7290C" w:rsidRDefault="00C7290C" w:rsidP="00C729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к л а д</w:t>
      </w:r>
    </w:p>
    <w:p w:rsidR="00C7290C" w:rsidRDefault="00C7290C" w:rsidP="00C729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ініціативної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групи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сільської ради Тростянецької об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територіальної громади</w:t>
      </w:r>
    </w:p>
    <w:p w:rsidR="00C7290C" w:rsidRDefault="00C7290C" w:rsidP="00C7290C">
      <w:pPr>
        <w:rPr>
          <w:rFonts w:ascii="Times New Roman" w:hAnsi="Times New Roman"/>
          <w:sz w:val="24"/>
          <w:szCs w:val="24"/>
        </w:rPr>
      </w:pPr>
    </w:p>
    <w:p w:rsidR="00C7290C" w:rsidRDefault="00C7290C" w:rsidP="00C72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Адам Михайло Миколайович - приватний підприємець (за згодою);</w:t>
      </w:r>
    </w:p>
    <w:p w:rsidR="00C7290C" w:rsidRDefault="00C7290C" w:rsidP="00C729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2. Бабій Володимир Євгенович – голова постійної комісії Тростянецької сільської ради 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питань регламенту, депутатської етики, законності та згуртованості;</w:t>
      </w:r>
    </w:p>
    <w:p w:rsidR="00C7290C" w:rsidRDefault="00C7290C" w:rsidP="00C729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Гальків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Ганна Павлівна – заступник Тростянецького сільського голови;</w:t>
      </w:r>
    </w:p>
    <w:p w:rsidR="00C7290C" w:rsidRDefault="00C7290C" w:rsidP="00C729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Гоїн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Оксана Петрівна – депутат Тростянецької сільської ради, директор народного дому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с.Бродки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C7290C" w:rsidRDefault="00C7290C" w:rsidP="00C729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Дзиндра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Олександра Іванівна – спеціаліст І категорії відділу з соціально-гуманітарних питань Тростянецької сільської ради;</w:t>
      </w:r>
    </w:p>
    <w:p w:rsidR="00C7290C" w:rsidRDefault="00C7290C" w:rsidP="00C7290C">
      <w:pPr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6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Дорощук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Тарас Миколайович – голова постійної комісії Тростянецької сільської ради з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земельних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відносин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архітектури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просторового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планування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>;</w:t>
      </w:r>
    </w:p>
    <w:p w:rsidR="00C7290C" w:rsidRDefault="00C7290C" w:rsidP="00C7290C">
      <w:pPr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Левицька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Мирослава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Михайлівна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бібліотекар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бібліотеки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с.Велика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Воля;</w:t>
      </w:r>
    </w:p>
    <w:p w:rsidR="00C7290C" w:rsidRDefault="00C7290C" w:rsidP="00C72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Місюрак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Микола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Миколайович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- 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голова постійної комісії Тростянецької сільської ради з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я та соціальної політики;</w:t>
      </w:r>
    </w:p>
    <w:p w:rsidR="00C7290C" w:rsidRDefault="00C7290C" w:rsidP="00C72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Соснило</w:t>
      </w:r>
      <w:proofErr w:type="spellEnd"/>
      <w:r>
        <w:rPr>
          <w:rFonts w:ascii="Times New Roman" w:hAnsi="Times New Roman"/>
          <w:sz w:val="24"/>
          <w:szCs w:val="24"/>
        </w:rPr>
        <w:t xml:space="preserve"> Ігор Дмитрович – депутат Тростянецької сільської ради;</w:t>
      </w:r>
    </w:p>
    <w:p w:rsidR="00C7290C" w:rsidRDefault="00C7290C" w:rsidP="00C72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Ткачук Юрій Петрович – депутат Миколаївської районної ради (за згодою);</w:t>
      </w:r>
    </w:p>
    <w:p w:rsidR="00C7290C" w:rsidRDefault="00C7290C" w:rsidP="00C72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Фацієвич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Іванна Богданівна – вчитель </w:t>
      </w:r>
      <w:proofErr w:type="spellStart"/>
      <w:r>
        <w:rPr>
          <w:rFonts w:ascii="Times New Roman" w:hAnsi="Times New Roman"/>
          <w:sz w:val="24"/>
          <w:szCs w:val="24"/>
        </w:rPr>
        <w:t>Стільського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НВК (за згодою);</w:t>
      </w:r>
    </w:p>
    <w:p w:rsidR="00C7290C" w:rsidRDefault="00C7290C" w:rsidP="00C729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Цихуляк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Михайло Степанович – головний спеціаліст відділу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соціально-гуманітарних питань Тростянецької сільської ради;</w:t>
      </w:r>
    </w:p>
    <w:p w:rsidR="00C7290C" w:rsidRDefault="00C7290C" w:rsidP="00C72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Шипов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Юрій Олександрович – голова </w:t>
      </w:r>
      <w:r>
        <w:rPr>
          <w:rFonts w:ascii="Times New Roman" w:hAnsi="Times New Roman"/>
        </w:rPr>
        <w:t>постійної комісію сільської ради з питань комунальної власності, транспорту та житлово-комунального господарства.</w:t>
      </w:r>
    </w:p>
    <w:p w:rsidR="00C7290C" w:rsidRDefault="00C7290C" w:rsidP="00C72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14.Яцків Тетяна Геннадіївна, голова ГО "Центр громадської адвокатури, експерт з питань стратегічного планування</w:t>
      </w:r>
    </w:p>
    <w:p w:rsidR="00C7290C" w:rsidRDefault="00C7290C" w:rsidP="00C72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t xml:space="preserve"> </w:t>
      </w:r>
      <w:proofErr w:type="spellStart"/>
      <w:r>
        <w:rPr>
          <w:rFonts w:ascii="Times New Roman" w:hAnsi="Times New Roman"/>
        </w:rPr>
        <w:t>Хауляк</w:t>
      </w:r>
      <w:proofErr w:type="spellEnd"/>
      <w:r>
        <w:rPr>
          <w:rFonts w:ascii="Times New Roman" w:hAnsi="Times New Roman"/>
        </w:rPr>
        <w:t xml:space="preserve"> Ярослав Володимирович, експерт проектів ГО "Центр громадської адвокатури (з  питань просторового планування та екології)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</w:p>
    <w:p w:rsidR="00C7290C" w:rsidRDefault="00C7290C" w:rsidP="00C7290C">
      <w:pPr>
        <w:jc w:val="both"/>
        <w:rPr>
          <w:rFonts w:ascii="Times New Roman" w:hAnsi="Times New Roman"/>
        </w:rPr>
      </w:pPr>
    </w:p>
    <w:p w:rsidR="00C7290C" w:rsidRDefault="00C7290C" w:rsidP="00C72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Сільський голова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Олександра </w:t>
      </w:r>
      <w:proofErr w:type="spellStart"/>
      <w:r>
        <w:rPr>
          <w:rFonts w:ascii="Times New Roman" w:hAnsi="Times New Roman"/>
        </w:rPr>
        <w:t>Леницька</w:t>
      </w:r>
      <w:proofErr w:type="spellEnd"/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Додаток  2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до рішення  Тростянецької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сільської ради №</w:t>
      </w:r>
      <w:r w:rsidR="00576893">
        <w:rPr>
          <w:rFonts w:ascii="Times New Roman" w:hAnsi="Times New Roman"/>
          <w:sz w:val="24"/>
          <w:szCs w:val="24"/>
        </w:rPr>
        <w:t xml:space="preserve"> 2292</w:t>
      </w:r>
      <w:bookmarkStart w:id="0" w:name="_GoBack"/>
      <w:bookmarkEnd w:id="0"/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від  15 листопада  2018  року </w:t>
      </w:r>
    </w:p>
    <w:p w:rsidR="00C7290C" w:rsidRDefault="00C7290C" w:rsidP="00C7290C">
      <w:pPr>
        <w:spacing w:after="0"/>
        <w:rPr>
          <w:rFonts w:ascii="Times New Roman" w:hAnsi="Times New Roman"/>
          <w:sz w:val="24"/>
          <w:szCs w:val="24"/>
        </w:rPr>
      </w:pPr>
    </w:p>
    <w:p w:rsidR="00C7290C" w:rsidRDefault="00C7290C" w:rsidP="00C729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Положення </w:t>
      </w:r>
    </w:p>
    <w:p w:rsidR="00C7290C" w:rsidRDefault="00C7290C" w:rsidP="00C7290C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ініціативну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групу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Тростянецької сільської ради Тростянецької об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територіальної громади</w:t>
      </w:r>
    </w:p>
    <w:p w:rsidR="00C7290C" w:rsidRDefault="00C7290C" w:rsidP="00C7290C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7290C" w:rsidRDefault="00C7290C" w:rsidP="00C729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території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є багато потенційних привабливих туристичних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Стільське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городище, культові споруди, відпочинкові зони в селах Поляна,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Велика Воля, гірськолижній витяг «Казкова Поляна», замок графа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Скарбека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с.Заклад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Ініціативна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група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Тростянецької сільської ради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створюється 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метою  розвитку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туризму на території Тростянецької сільської ради, виконання дорожньої карти розвитку малого та середнього підприємництва Тростянецької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громади, розробки комплексного туристичного продукту громади, промоцією регіону задля створення його позитивного іміджу.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Ініціативна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група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туризму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Тростянецької сільської ради створюється з ініціативи депутатів Тростянецької сільської ради. До складу ініціативної групи залучаються депутати Тростянецької сільської ради, активні мешканці громади, підприємці, які працюють на території громади.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Також до ініціативної групи доцільно залучати експертів, археологів, істориків.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Ініціативна група працює на громадських засадах.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ініціативної групи можна проводити у приміщенні сільської ради або на території туристично привабливих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Завданнями ініціативної групи є розроблення чіткого плану діяльності  щодо розвитку туризму на території громади. Розвиток туризму неможливий без людей, які будуть займатися створенням туристичного продукту, рекламуватимуть наш регіон як туристично привабливий.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Ініціативнв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група повинна створити план розвитку туризму, де вказати, хто і чим буде займатися. Необхідно налагодити контакти з фізичними особами чи підприємцями, які зможуть організувати поїздки на територію, провести екскурсії. Осіб, зацікавлених у розвитку туризму, необхідно запрошувати на засідання ініціативної групи.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Завданнями ініціативної групи є розробка переліку туристично привабливих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їх опис, складання історичних довідок про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розроблення туристичних маршрутів.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Важливою частиною роботи ініціативної групи з розвитку туризму є: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підготовка карток з описом туристичних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туристичних маршрутів на їх основі;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розроблення та розміщення інформаційних щитів та вказівників на території сільської ради та біля доріг;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підготовка плану розміщення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велоінфраструктури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вивчення доцільності створення кемпінгів та необхідної інфраструктури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Ініціативна група розробляє і складає план фінансування туристичних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залучення коштів у громаду для розвитку туризму. З цією метою бере участь у  різноманітних проектах.                                                                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Інформація про діяльність ініціативної групи розміщується на сайті Тростянецької сільської ради.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Сільський голова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290C" w:rsidRDefault="00C7290C" w:rsidP="00C7290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90C" w:rsidRDefault="00C7290C" w:rsidP="00C7290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923" w:rsidRDefault="002D4923"/>
    <w:sectPr w:rsidR="002D4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68"/>
    <w:rsid w:val="002D4923"/>
    <w:rsid w:val="00576893"/>
    <w:rsid w:val="00BE1F68"/>
    <w:rsid w:val="00C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7DF6"/>
  <w15:chartTrackingRefBased/>
  <w15:docId w15:val="{71899345-5581-4C06-9E78-3E5AF0B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68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2018-11-27T16:00:00Z</cp:lastPrinted>
  <dcterms:created xsi:type="dcterms:W3CDTF">2018-11-14T12:50:00Z</dcterms:created>
  <dcterms:modified xsi:type="dcterms:W3CDTF">2018-11-27T16:01:00Z</dcterms:modified>
</cp:coreProperties>
</file>