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49" w:rsidRPr="002C746E" w:rsidRDefault="002F0749" w:rsidP="002F0749">
      <w:pPr>
        <w:suppressAutoHyphens/>
        <w:spacing w:after="280" w:line="240" w:lineRule="auto"/>
        <w:jc w:val="center"/>
        <w:rPr>
          <w:rFonts w:ascii="Times New Roman" w:eastAsia="Times New Roman" w:hAnsi="Times New Roman"/>
          <w:b/>
          <w:bCs/>
          <w:sz w:val="24"/>
          <w:szCs w:val="24"/>
          <w:lang w:val="uk-UA" w:eastAsia="ar-SA"/>
        </w:rPr>
      </w:pPr>
      <w:r w:rsidRPr="002C746E">
        <w:rPr>
          <w:rFonts w:ascii="Times New Roman" w:eastAsia="Times New Roman" w:hAnsi="Times New Roman"/>
          <w:noProof/>
          <w:sz w:val="28"/>
          <w:lang w:val="uk-UA" w:eastAsia="uk-UA"/>
        </w:rPr>
        <w:drawing>
          <wp:inline distT="0" distB="0" distL="0" distR="0" wp14:anchorId="1367C0FB" wp14:editId="0E63245E">
            <wp:extent cx="3619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600075"/>
                    </a:xfrm>
                    <a:prstGeom prst="rect">
                      <a:avLst/>
                    </a:prstGeom>
                    <a:solidFill>
                      <a:srgbClr val="FFFFFF"/>
                    </a:solidFill>
                    <a:ln>
                      <a:noFill/>
                    </a:ln>
                  </pic:spPr>
                </pic:pic>
              </a:graphicData>
            </a:graphic>
          </wp:inline>
        </w:drawing>
      </w:r>
    </w:p>
    <w:p w:rsidR="002F0749" w:rsidRPr="002C746E" w:rsidRDefault="002F0749" w:rsidP="002F0749">
      <w:pPr>
        <w:suppressAutoHyphens/>
        <w:spacing w:after="0" w:line="240" w:lineRule="auto"/>
        <w:ind w:firstLine="708"/>
        <w:jc w:val="center"/>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ТРОСТЯНЕЦЬКА СІЛЬСЬКА РАДА</w:t>
      </w:r>
    </w:p>
    <w:p w:rsidR="002F0749" w:rsidRPr="002C746E" w:rsidRDefault="002F0749" w:rsidP="002F0749">
      <w:pPr>
        <w:suppressAutoHyphens/>
        <w:spacing w:after="0" w:line="240" w:lineRule="auto"/>
        <w:jc w:val="center"/>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ТРОСТЯНЕЦЬКОЇ ОБ</w:t>
      </w:r>
      <w:r w:rsidRPr="002C746E">
        <w:rPr>
          <w:rFonts w:ascii="Times New Roman" w:eastAsia="Lucida Sans Unicode" w:hAnsi="Times New Roman" w:cs="Tahoma"/>
          <w:b/>
          <w:bCs/>
          <w:sz w:val="24"/>
          <w:szCs w:val="24"/>
          <w:lang w:val="uk-UA" w:eastAsia="ar-SA"/>
        </w:rPr>
        <w:t>'</w:t>
      </w:r>
      <w:r w:rsidRPr="002C746E">
        <w:rPr>
          <w:rFonts w:ascii="Times New Roman" w:eastAsia="Times New Roman" w:hAnsi="Times New Roman"/>
          <w:b/>
          <w:bCs/>
          <w:sz w:val="24"/>
          <w:szCs w:val="24"/>
          <w:lang w:val="uk-UA" w:eastAsia="ar-SA"/>
        </w:rPr>
        <w:t xml:space="preserve">ЄДНАНОЇ ТЕРИТОРІАЛЬНОЇ ГРОМАДИ </w:t>
      </w:r>
    </w:p>
    <w:p w:rsidR="002F0749" w:rsidRPr="002C746E" w:rsidRDefault="002F0749" w:rsidP="002F0749">
      <w:pPr>
        <w:keepNext/>
        <w:tabs>
          <w:tab w:val="num" w:pos="0"/>
        </w:tabs>
        <w:suppressAutoHyphens/>
        <w:spacing w:after="0" w:line="240" w:lineRule="auto"/>
        <w:ind w:left="432" w:hanging="432"/>
        <w:jc w:val="center"/>
        <w:outlineLvl w:val="0"/>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Миколаївського району  Львівської області</w:t>
      </w:r>
    </w:p>
    <w:p w:rsidR="002F0749" w:rsidRPr="002C746E" w:rsidRDefault="002F0749" w:rsidP="002F0749">
      <w:pPr>
        <w:suppressAutoHyphens/>
        <w:spacing w:after="0" w:line="240" w:lineRule="auto"/>
        <w:ind w:firstLine="709"/>
        <w:jc w:val="center"/>
        <w:rPr>
          <w:rFonts w:ascii="Times New Roman" w:eastAsia="Times New Roman" w:hAnsi="Times New Roman"/>
          <w:b/>
          <w:sz w:val="26"/>
          <w:szCs w:val="26"/>
          <w:lang w:val="uk-UA" w:eastAsia="ar-SA"/>
        </w:rPr>
      </w:pPr>
    </w:p>
    <w:p w:rsidR="002F0749" w:rsidRPr="002C746E" w:rsidRDefault="002F0749" w:rsidP="002F0749">
      <w:pPr>
        <w:suppressAutoHyphens/>
        <w:spacing w:after="0" w:line="240" w:lineRule="auto"/>
        <w:jc w:val="both"/>
        <w:rPr>
          <w:rFonts w:ascii="Times New Roman" w:eastAsia="Times New Roman" w:hAnsi="Times New Roman"/>
          <w:color w:val="000000"/>
          <w:sz w:val="20"/>
          <w:szCs w:val="20"/>
          <w:lang w:eastAsia="ar-SA"/>
        </w:rPr>
      </w:pPr>
      <w:r w:rsidRPr="002C746E">
        <w:rPr>
          <w:rFonts w:ascii="Times New Roman" w:eastAsia="Times New Roman" w:hAnsi="Times New Roman"/>
          <w:color w:val="000000"/>
          <w:sz w:val="20"/>
          <w:szCs w:val="20"/>
          <w:lang w:val="uk-UA" w:eastAsia="ar-SA"/>
        </w:rPr>
        <w:t xml:space="preserve">Вулиця Зелена,2 с. Тростянець, Миколаївський район, Львівська область, 81614 </w:t>
      </w:r>
      <w:proofErr w:type="spellStart"/>
      <w:r w:rsidRPr="002C746E">
        <w:rPr>
          <w:rFonts w:ascii="Times New Roman" w:eastAsia="Times New Roman" w:hAnsi="Times New Roman"/>
          <w:color w:val="000000"/>
          <w:sz w:val="20"/>
          <w:szCs w:val="20"/>
          <w:lang w:val="uk-UA" w:eastAsia="ar-SA"/>
        </w:rPr>
        <w:t>тел</w:t>
      </w:r>
      <w:proofErr w:type="spellEnd"/>
      <w:r w:rsidRPr="002C746E">
        <w:rPr>
          <w:rFonts w:ascii="Times New Roman" w:eastAsia="Times New Roman" w:hAnsi="Times New Roman"/>
          <w:color w:val="000000"/>
          <w:sz w:val="20"/>
          <w:szCs w:val="20"/>
          <w:lang w:val="uk-UA" w:eastAsia="ar-SA"/>
        </w:rPr>
        <w:t>. 03(241)</w:t>
      </w:r>
      <w:r w:rsidRPr="002C746E">
        <w:rPr>
          <w:rFonts w:ascii="Times New Roman" w:eastAsia="Times New Roman" w:hAnsi="Times New Roman"/>
          <w:color w:val="000000"/>
          <w:sz w:val="20"/>
          <w:szCs w:val="20"/>
          <w:lang w:eastAsia="ar-SA"/>
        </w:rPr>
        <w:t>6-61-36</w:t>
      </w:r>
    </w:p>
    <w:p w:rsidR="002F0749" w:rsidRPr="002C746E" w:rsidRDefault="002F0749" w:rsidP="002F0749">
      <w:pPr>
        <w:suppressAutoHyphens/>
        <w:autoSpaceDE w:val="0"/>
        <w:spacing w:line="288" w:lineRule="auto"/>
        <w:jc w:val="both"/>
        <w:rPr>
          <w:rFonts w:ascii="Times New Roman" w:eastAsia="Times New Roman" w:hAnsi="Times New Roman"/>
          <w:b/>
          <w:sz w:val="28"/>
          <w:szCs w:val="28"/>
          <w:lang w:val="uk-UA" w:eastAsia="ar-SA"/>
        </w:rPr>
      </w:pPr>
    </w:p>
    <w:p w:rsidR="002F0749" w:rsidRDefault="002F0749" w:rsidP="002F0749">
      <w:pPr>
        <w:spacing w:after="160" w:line="259" w:lineRule="auto"/>
        <w:ind w:firstLine="4536"/>
        <w:contextualSpacing/>
        <w:rPr>
          <w:rFonts w:ascii="Times New Roman" w:hAnsi="Times New Roman"/>
          <w:iCs/>
          <w:sz w:val="26"/>
          <w:szCs w:val="26"/>
          <w:shd w:val="clear" w:color="auto" w:fill="FFFFFF"/>
        </w:rPr>
      </w:pPr>
    </w:p>
    <w:p w:rsidR="002F0749" w:rsidRPr="00514BA7" w:rsidRDefault="002F0749" w:rsidP="002F0749">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Директору</w:t>
      </w:r>
    </w:p>
    <w:p w:rsidR="002F0749" w:rsidRPr="00514BA7" w:rsidRDefault="002F0749" w:rsidP="002F0749">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 xml:space="preserve">Департаменту </w:t>
      </w:r>
      <w:proofErr w:type="spellStart"/>
      <w:r w:rsidRPr="00514BA7">
        <w:rPr>
          <w:rFonts w:ascii="Times New Roman" w:hAnsi="Times New Roman"/>
          <w:iCs/>
          <w:sz w:val="28"/>
          <w:szCs w:val="26"/>
          <w:shd w:val="clear" w:color="auto" w:fill="FFFFFF"/>
        </w:rPr>
        <w:t>екології</w:t>
      </w:r>
      <w:proofErr w:type="spellEnd"/>
      <w:r w:rsidRPr="00514BA7">
        <w:rPr>
          <w:rFonts w:ascii="Times New Roman" w:hAnsi="Times New Roman"/>
          <w:iCs/>
          <w:sz w:val="28"/>
          <w:szCs w:val="26"/>
          <w:shd w:val="clear" w:color="auto" w:fill="FFFFFF"/>
        </w:rPr>
        <w:t xml:space="preserve"> та </w:t>
      </w:r>
    </w:p>
    <w:p w:rsidR="002F0749" w:rsidRPr="00514BA7" w:rsidRDefault="002F0749" w:rsidP="002F0749">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proofErr w:type="spellStart"/>
      <w:r w:rsidRPr="00514BA7">
        <w:rPr>
          <w:rFonts w:ascii="Times New Roman" w:hAnsi="Times New Roman"/>
          <w:iCs/>
          <w:sz w:val="28"/>
          <w:szCs w:val="26"/>
          <w:shd w:val="clear" w:color="auto" w:fill="FFFFFF"/>
        </w:rPr>
        <w:t>природних</w:t>
      </w:r>
      <w:proofErr w:type="spellEnd"/>
      <w:r w:rsidRPr="00514BA7">
        <w:rPr>
          <w:rFonts w:ascii="Times New Roman" w:hAnsi="Times New Roman"/>
          <w:iCs/>
          <w:sz w:val="28"/>
          <w:szCs w:val="26"/>
          <w:shd w:val="clear" w:color="auto" w:fill="FFFFFF"/>
        </w:rPr>
        <w:t xml:space="preserve"> </w:t>
      </w:r>
      <w:proofErr w:type="spellStart"/>
      <w:r w:rsidRPr="00514BA7">
        <w:rPr>
          <w:rFonts w:ascii="Times New Roman" w:hAnsi="Times New Roman"/>
          <w:iCs/>
          <w:sz w:val="28"/>
          <w:szCs w:val="26"/>
          <w:shd w:val="clear" w:color="auto" w:fill="FFFFFF"/>
        </w:rPr>
        <w:t>ресурсів</w:t>
      </w:r>
      <w:proofErr w:type="spellEnd"/>
      <w:r w:rsidRPr="00514BA7">
        <w:rPr>
          <w:rFonts w:ascii="Times New Roman" w:hAnsi="Times New Roman"/>
          <w:iCs/>
          <w:sz w:val="28"/>
          <w:szCs w:val="26"/>
          <w:shd w:val="clear" w:color="auto" w:fill="FFFFFF"/>
        </w:rPr>
        <w:t xml:space="preserve"> </w:t>
      </w:r>
    </w:p>
    <w:p w:rsidR="002F0749" w:rsidRDefault="002F0749" w:rsidP="002F0749">
      <w:pPr>
        <w:spacing w:after="160" w:line="259" w:lineRule="auto"/>
        <w:ind w:firstLine="4536"/>
        <w:contextualSpacing/>
        <w:rPr>
          <w:rFonts w:ascii="Times New Roman" w:hAnsi="Times New Roman"/>
          <w:iCs/>
          <w:sz w:val="28"/>
          <w:szCs w:val="26"/>
          <w:shd w:val="clear" w:color="auto" w:fill="FFFFFF"/>
          <w:lang w:val="uk-UA"/>
        </w:rPr>
      </w:pPr>
      <w:r>
        <w:rPr>
          <w:rFonts w:ascii="Times New Roman" w:hAnsi="Times New Roman"/>
          <w:iCs/>
          <w:sz w:val="28"/>
          <w:szCs w:val="26"/>
          <w:shd w:val="clear" w:color="auto" w:fill="FFFFFF"/>
          <w:lang w:val="uk-UA"/>
        </w:rPr>
        <w:t xml:space="preserve">              </w:t>
      </w:r>
      <w:proofErr w:type="spellStart"/>
      <w:r>
        <w:rPr>
          <w:rFonts w:ascii="Times New Roman" w:hAnsi="Times New Roman"/>
          <w:iCs/>
          <w:sz w:val="28"/>
          <w:szCs w:val="26"/>
          <w:shd w:val="clear" w:color="auto" w:fill="FFFFFF"/>
        </w:rPr>
        <w:t>Львівської</w:t>
      </w:r>
      <w:proofErr w:type="spellEnd"/>
      <w:r>
        <w:rPr>
          <w:rFonts w:ascii="Times New Roman" w:hAnsi="Times New Roman"/>
          <w:iCs/>
          <w:sz w:val="28"/>
          <w:szCs w:val="26"/>
          <w:shd w:val="clear" w:color="auto" w:fill="FFFFFF"/>
        </w:rPr>
        <w:t xml:space="preserve"> </w:t>
      </w:r>
      <w:proofErr w:type="spellStart"/>
      <w:r>
        <w:rPr>
          <w:rFonts w:ascii="Times New Roman" w:hAnsi="Times New Roman"/>
          <w:iCs/>
          <w:sz w:val="28"/>
          <w:szCs w:val="26"/>
          <w:shd w:val="clear" w:color="auto" w:fill="FFFFFF"/>
        </w:rPr>
        <w:t>обласної</w:t>
      </w:r>
      <w:proofErr w:type="spellEnd"/>
      <w:r>
        <w:rPr>
          <w:rFonts w:ascii="Times New Roman" w:hAnsi="Times New Roman"/>
          <w:iCs/>
          <w:sz w:val="28"/>
          <w:szCs w:val="26"/>
          <w:shd w:val="clear" w:color="auto" w:fill="FFFFFF"/>
        </w:rPr>
        <w:t xml:space="preserve"> </w:t>
      </w:r>
      <w:proofErr w:type="spellStart"/>
      <w:r>
        <w:rPr>
          <w:rFonts w:ascii="Times New Roman" w:hAnsi="Times New Roman"/>
          <w:iCs/>
          <w:sz w:val="28"/>
          <w:szCs w:val="26"/>
          <w:shd w:val="clear" w:color="auto" w:fill="FFFFFF"/>
        </w:rPr>
        <w:t>державної</w:t>
      </w:r>
      <w:proofErr w:type="spellEnd"/>
    </w:p>
    <w:p w:rsidR="002F0749" w:rsidRPr="00514BA7" w:rsidRDefault="002F0749" w:rsidP="002F0749">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proofErr w:type="spellStart"/>
      <w:r w:rsidRPr="00514BA7">
        <w:rPr>
          <w:rFonts w:ascii="Times New Roman" w:hAnsi="Times New Roman"/>
          <w:iCs/>
          <w:sz w:val="28"/>
          <w:szCs w:val="26"/>
          <w:shd w:val="clear" w:color="auto" w:fill="FFFFFF"/>
        </w:rPr>
        <w:t>адміністрації</w:t>
      </w:r>
      <w:proofErr w:type="spellEnd"/>
    </w:p>
    <w:p w:rsidR="002F0749" w:rsidRDefault="002F0749" w:rsidP="002F0749">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Pr="00514BA7">
        <w:rPr>
          <w:rFonts w:ascii="Times New Roman" w:hAnsi="Times New Roman"/>
          <w:iCs/>
          <w:sz w:val="28"/>
          <w:szCs w:val="26"/>
          <w:shd w:val="clear" w:color="auto" w:fill="FFFFFF"/>
        </w:rPr>
        <w:t>п.</w:t>
      </w:r>
      <w:r w:rsidRPr="00514BA7">
        <w:rPr>
          <w:rFonts w:ascii="Times New Roman" w:hAnsi="Times New Roman"/>
          <w:iCs/>
          <w:sz w:val="28"/>
          <w:szCs w:val="26"/>
          <w:shd w:val="clear" w:color="auto" w:fill="FFFFFF"/>
          <w:lang w:val="uk-UA"/>
        </w:rPr>
        <w:t xml:space="preserve"> </w:t>
      </w:r>
      <w:proofErr w:type="spellStart"/>
      <w:r w:rsidRPr="00514BA7">
        <w:rPr>
          <w:rFonts w:ascii="Times New Roman" w:hAnsi="Times New Roman"/>
          <w:iCs/>
          <w:sz w:val="28"/>
          <w:szCs w:val="26"/>
          <w:shd w:val="clear" w:color="auto" w:fill="FFFFFF"/>
        </w:rPr>
        <w:t>Гречанику</w:t>
      </w:r>
      <w:proofErr w:type="spellEnd"/>
      <w:r w:rsidRPr="00514BA7">
        <w:rPr>
          <w:rFonts w:ascii="Times New Roman" w:hAnsi="Times New Roman"/>
          <w:iCs/>
          <w:sz w:val="28"/>
          <w:szCs w:val="26"/>
          <w:shd w:val="clear" w:color="auto" w:fill="FFFFFF"/>
        </w:rPr>
        <w:t xml:space="preserve"> Р.М.</w:t>
      </w:r>
    </w:p>
    <w:p w:rsidR="002F0749" w:rsidRDefault="002F0749" w:rsidP="002F0749">
      <w:pPr>
        <w:spacing w:after="0" w:line="240" w:lineRule="auto"/>
        <w:ind w:left="567" w:firstLine="4962"/>
        <w:rPr>
          <w:rFonts w:ascii="Times New Roman" w:hAnsi="Times New Roman"/>
          <w:color w:val="000000"/>
          <w:sz w:val="28"/>
          <w:szCs w:val="28"/>
          <w:shd w:val="clear" w:color="auto" w:fill="FFFFFF"/>
          <w:lang w:val="uk-UA"/>
        </w:rPr>
      </w:pPr>
    </w:p>
    <w:p w:rsidR="002F0749" w:rsidRDefault="002F0749" w:rsidP="002F0749">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Директору</w:t>
      </w:r>
    </w:p>
    <w:p w:rsidR="002F0749" w:rsidRDefault="002F0749" w:rsidP="002F0749">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Департаменту охорони здоров’я</w:t>
      </w:r>
    </w:p>
    <w:p w:rsidR="002F0749" w:rsidRDefault="002F0749" w:rsidP="002F0749">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Львівської обласної </w:t>
      </w:r>
    </w:p>
    <w:p w:rsidR="002F0749" w:rsidRDefault="002F0749" w:rsidP="002F0749">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державної адміністрації</w:t>
      </w:r>
    </w:p>
    <w:p w:rsidR="002F0749" w:rsidRDefault="002F0749" w:rsidP="002F0749">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п. </w:t>
      </w:r>
      <w:proofErr w:type="spellStart"/>
      <w:r>
        <w:rPr>
          <w:rFonts w:ascii="Times New Roman" w:hAnsi="Times New Roman"/>
          <w:color w:val="000000"/>
          <w:sz w:val="28"/>
          <w:szCs w:val="28"/>
          <w:shd w:val="clear" w:color="auto" w:fill="FFFFFF"/>
          <w:lang w:val="uk-UA"/>
        </w:rPr>
        <w:t>Микичак</w:t>
      </w:r>
      <w:proofErr w:type="spellEnd"/>
      <w:r>
        <w:rPr>
          <w:rFonts w:ascii="Times New Roman" w:hAnsi="Times New Roman"/>
          <w:color w:val="000000"/>
          <w:sz w:val="28"/>
          <w:szCs w:val="28"/>
          <w:shd w:val="clear" w:color="auto" w:fill="FFFFFF"/>
          <w:lang w:val="uk-UA"/>
        </w:rPr>
        <w:t xml:space="preserve"> І.В.</w:t>
      </w:r>
    </w:p>
    <w:p w:rsidR="002F0749" w:rsidRPr="00514BA7" w:rsidRDefault="002F0749" w:rsidP="002F0749">
      <w:pPr>
        <w:tabs>
          <w:tab w:val="left" w:pos="6300"/>
        </w:tabs>
        <w:spacing w:after="160" w:line="259" w:lineRule="auto"/>
        <w:ind w:firstLine="4536"/>
        <w:contextualSpacing/>
        <w:rPr>
          <w:rFonts w:ascii="Times New Roman" w:hAnsi="Times New Roman"/>
          <w:iCs/>
          <w:sz w:val="28"/>
          <w:szCs w:val="26"/>
          <w:shd w:val="clear" w:color="auto" w:fill="FFFFFF"/>
        </w:rPr>
      </w:pPr>
    </w:p>
    <w:p w:rsidR="002F0749" w:rsidRDefault="002F0749" w:rsidP="002F0749">
      <w:pPr>
        <w:spacing w:after="120" w:line="240" w:lineRule="auto"/>
        <w:ind w:left="567"/>
        <w:contextualSpacing/>
        <w:jc w:val="center"/>
        <w:rPr>
          <w:rFonts w:ascii="Times New Roman" w:hAnsi="Times New Roman"/>
          <w:color w:val="000000"/>
          <w:sz w:val="28"/>
          <w:szCs w:val="28"/>
          <w:shd w:val="clear" w:color="auto" w:fill="FFFFFF"/>
          <w:lang w:val="uk-UA"/>
        </w:rPr>
      </w:pPr>
    </w:p>
    <w:p w:rsidR="002F0749" w:rsidRDefault="002F0749" w:rsidP="002F0749">
      <w:pPr>
        <w:spacing w:after="120" w:line="240" w:lineRule="auto"/>
        <w:ind w:left="567"/>
        <w:contextualSpacing/>
        <w:jc w:val="center"/>
        <w:rPr>
          <w:rFonts w:ascii="Times New Roman" w:hAnsi="Times New Roman"/>
          <w:color w:val="000000"/>
          <w:sz w:val="28"/>
          <w:szCs w:val="28"/>
          <w:shd w:val="clear" w:color="auto" w:fill="FFFFFF"/>
          <w:lang w:val="uk-UA"/>
        </w:rPr>
      </w:pPr>
    </w:p>
    <w:p w:rsidR="002F0749" w:rsidRDefault="002F0749" w:rsidP="002F0749">
      <w:pPr>
        <w:spacing w:after="120" w:line="240" w:lineRule="auto"/>
        <w:ind w:left="567"/>
        <w:contextualSpacing/>
        <w:jc w:val="cente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Заява</w:t>
      </w:r>
    </w:p>
    <w:p w:rsidR="002F0749" w:rsidRDefault="002F0749" w:rsidP="002F0749">
      <w:pPr>
        <w:spacing w:after="120" w:line="240" w:lineRule="auto"/>
        <w:contextualSpacing/>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про визначення обсягу стратегічної екологічної оцінки Генерального плану села </w:t>
      </w:r>
      <w:proofErr w:type="spellStart"/>
      <w:r>
        <w:rPr>
          <w:rFonts w:ascii="Times New Roman" w:hAnsi="Times New Roman"/>
          <w:sz w:val="28"/>
          <w:szCs w:val="28"/>
          <w:shd w:val="clear" w:color="auto" w:fill="FFFFFF"/>
          <w:lang w:val="uk-UA"/>
        </w:rPr>
        <w:t>Демня</w:t>
      </w:r>
      <w:proofErr w:type="spellEnd"/>
      <w:r>
        <w:rPr>
          <w:rFonts w:ascii="Times New Roman" w:hAnsi="Times New Roman"/>
          <w:sz w:val="28"/>
          <w:szCs w:val="28"/>
          <w:shd w:val="clear" w:color="auto" w:fill="FFFFFF"/>
          <w:lang w:val="uk-UA"/>
        </w:rPr>
        <w:t xml:space="preserve"> Тростянецької сільської ради</w:t>
      </w:r>
    </w:p>
    <w:p w:rsidR="002F0749" w:rsidRDefault="002F0749" w:rsidP="002F0749">
      <w:pPr>
        <w:spacing w:after="120" w:line="240" w:lineRule="auto"/>
        <w:contextualSpacing/>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Тростянецької об’єднаної територіальної громади</w:t>
      </w:r>
    </w:p>
    <w:p w:rsidR="002F0749" w:rsidRDefault="002F0749" w:rsidP="002F0749">
      <w:pPr>
        <w:spacing w:after="120" w:line="240" w:lineRule="auto"/>
        <w:contextualSpacing/>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Миколаївського району Львівської області</w:t>
      </w:r>
    </w:p>
    <w:p w:rsidR="002F0749" w:rsidRDefault="002F0749" w:rsidP="002F0749">
      <w:pPr>
        <w:spacing w:after="120" w:line="240" w:lineRule="auto"/>
        <w:ind w:left="567"/>
        <w:contextualSpacing/>
        <w:jc w:val="center"/>
        <w:rPr>
          <w:rFonts w:ascii="Times New Roman" w:hAnsi="Times New Roman"/>
          <w:color w:val="000000"/>
          <w:sz w:val="28"/>
          <w:szCs w:val="28"/>
          <w:shd w:val="clear" w:color="auto" w:fill="FFFFFF"/>
          <w:lang w:val="uk-UA"/>
        </w:rPr>
      </w:pPr>
    </w:p>
    <w:p w:rsidR="002F0749" w:rsidRDefault="002F0749" w:rsidP="002F0749">
      <w:pPr>
        <w:spacing w:after="120" w:line="240" w:lineRule="auto"/>
        <w:ind w:left="567"/>
        <w:contextualSpacing/>
        <w:jc w:val="both"/>
        <w:rPr>
          <w:rFonts w:ascii="Times New Roman" w:hAnsi="Times New Roman"/>
          <w:color w:val="000000"/>
          <w:sz w:val="28"/>
          <w:szCs w:val="28"/>
          <w:u w:val="single"/>
          <w:shd w:val="clear" w:color="auto" w:fill="FFFFFF"/>
          <w:lang w:val="uk-UA"/>
        </w:rPr>
      </w:pPr>
      <w:r>
        <w:rPr>
          <w:rFonts w:ascii="Times New Roman" w:hAnsi="Times New Roman"/>
          <w:color w:val="000000"/>
          <w:sz w:val="28"/>
          <w:szCs w:val="28"/>
          <w:u w:val="single"/>
          <w:shd w:val="clear" w:color="auto" w:fill="FFFFFF"/>
          <w:lang w:val="uk-UA"/>
        </w:rPr>
        <w:t>Загальні положення</w:t>
      </w:r>
    </w:p>
    <w:p w:rsidR="002F0749" w:rsidRDefault="002F0749" w:rsidP="002F0749">
      <w:pPr>
        <w:pStyle w:val="a5"/>
        <w:spacing w:after="120" w:line="240" w:lineRule="auto"/>
        <w:ind w:left="0" w:firstLine="567"/>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1. Замовник СЕО</w:t>
      </w:r>
    </w:p>
    <w:p w:rsidR="002F0749" w:rsidRDefault="002F0749" w:rsidP="002F0749">
      <w:pPr>
        <w:pStyle w:val="a5"/>
        <w:spacing w:after="120" w:line="240" w:lineRule="auto"/>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Тростянецька сільська рада Тростянецької об’єднаної територіальної громади Миколаївського району Львівської області (</w:t>
      </w:r>
      <w:r>
        <w:rPr>
          <w:rFonts w:ascii="Times New Roman" w:hAnsi="Times New Roman"/>
          <w:sz w:val="28"/>
          <w:szCs w:val="28"/>
          <w:lang w:val="uk-UA"/>
        </w:rPr>
        <w:t>81614, Львівська обл., Миколаївський р-н, с. Тростянець, вул. Зелена, 2</w:t>
      </w:r>
      <w:r>
        <w:rPr>
          <w:rFonts w:ascii="Times New Roman" w:hAnsi="Times New Roman"/>
          <w:color w:val="000000"/>
          <w:sz w:val="28"/>
          <w:szCs w:val="28"/>
          <w:shd w:val="clear" w:color="auto" w:fill="FFFFFF"/>
          <w:lang w:val="uk-UA"/>
        </w:rPr>
        <w:t>).</w:t>
      </w:r>
    </w:p>
    <w:p w:rsidR="002F0749" w:rsidRPr="002F0749" w:rsidRDefault="002F0749" w:rsidP="002F0749">
      <w:pPr>
        <w:pStyle w:val="a5"/>
        <w:spacing w:after="120" w:line="240" w:lineRule="auto"/>
        <w:ind w:left="0" w:firstLine="567"/>
        <w:rPr>
          <w:rFonts w:ascii="Times New Roman" w:hAnsi="Times New Roman"/>
          <w:sz w:val="28"/>
          <w:szCs w:val="28"/>
          <w:shd w:val="clear" w:color="auto" w:fill="FFFFFF"/>
          <w:lang w:val="uk-UA"/>
        </w:rPr>
      </w:pPr>
      <w:r w:rsidRPr="002F0749">
        <w:rPr>
          <w:rFonts w:ascii="Times New Roman" w:hAnsi="Times New Roman"/>
          <w:sz w:val="28"/>
          <w:szCs w:val="28"/>
          <w:shd w:val="clear" w:color="auto" w:fill="FFFFFF"/>
          <w:lang w:val="uk-UA"/>
        </w:rPr>
        <w:t>ЄДРПОУ: 40178802</w:t>
      </w:r>
    </w:p>
    <w:p w:rsidR="002F0749" w:rsidRDefault="002F0749" w:rsidP="002F0749">
      <w:pPr>
        <w:pStyle w:val="a5"/>
        <w:spacing w:after="120" w:line="240" w:lineRule="auto"/>
        <w:ind w:left="0" w:firstLine="567"/>
        <w:jc w:val="both"/>
        <w:rPr>
          <w:rFonts w:ascii="Times New Roman" w:hAnsi="Times New Roman"/>
          <w:bCs/>
          <w:i/>
          <w:color w:val="000000"/>
          <w:sz w:val="28"/>
          <w:szCs w:val="28"/>
          <w:u w:val="single"/>
          <w:lang w:val="uk-UA"/>
        </w:rPr>
      </w:pPr>
      <w:r>
        <w:rPr>
          <w:rFonts w:ascii="Times New Roman" w:hAnsi="Times New Roman"/>
          <w:bCs/>
          <w:i/>
          <w:color w:val="000000"/>
          <w:sz w:val="28"/>
          <w:szCs w:val="28"/>
          <w:u w:val="single"/>
          <w:lang w:val="uk-UA"/>
        </w:rPr>
        <w:t>2. Вид та основні цілі документу державного планування</w:t>
      </w:r>
      <w:bookmarkStart w:id="0" w:name="_GoBack"/>
      <w:bookmarkEnd w:id="0"/>
    </w:p>
    <w:p w:rsidR="002F0749" w:rsidRDefault="002F0749" w:rsidP="002F0749">
      <w:pPr>
        <w:spacing w:after="12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Генеральний план села </w:t>
      </w:r>
      <w:proofErr w:type="spellStart"/>
      <w:r>
        <w:rPr>
          <w:rFonts w:ascii="Times New Roman" w:hAnsi="Times New Roman"/>
          <w:sz w:val="28"/>
          <w:szCs w:val="28"/>
          <w:lang w:val="uk-UA"/>
        </w:rPr>
        <w:t>Демня</w:t>
      </w:r>
      <w:proofErr w:type="spellEnd"/>
      <w:r>
        <w:rPr>
          <w:rFonts w:ascii="Times New Roman" w:hAnsi="Times New Roman"/>
          <w:sz w:val="28"/>
          <w:szCs w:val="28"/>
          <w:lang w:val="uk-UA"/>
        </w:rPr>
        <w:t xml:space="preserve"> Тростянецької сільської ради Тростянецької об’єднаної територіальної громади Миколаївського району Львівської області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населених пунктів, а також з метою оптимальної функціональної організації поселення, яка має </w:t>
      </w:r>
      <w:r>
        <w:rPr>
          <w:rFonts w:ascii="Times New Roman" w:hAnsi="Times New Roman"/>
          <w:sz w:val="28"/>
          <w:szCs w:val="28"/>
          <w:lang w:val="uk-UA"/>
        </w:rPr>
        <w:lastRenderedPageBreak/>
        <w:t>забезпечувати розвиток та реконструкцію сільського поселення, найкращі умови проживання та праці.</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Генеральний план передбачає:</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 визначення майбутніх потреб переважних напрямів використання території;</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 урахування державних, громадських і приватних інтересів під час планування забудови та іншого використання територій;</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 обґрунтування зміни межі населеного пункту, черговості й пріоритетності забудови та іншого використання територій;</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 визначення меж функціональних зон, пріоритетних та допустимих видів використання і забудови територій;</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 формування планувальної структури та просторової композиції забудови населеного пункту;</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 визначення територій, що мають будівельні, санітарно-гігієнічні, природоохоронні та інші обмеження їх використання.</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 xml:space="preserve">-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w:t>
      </w:r>
      <w:proofErr w:type="spellStart"/>
      <w:r>
        <w:rPr>
          <w:rFonts w:ascii="Times New Roman" w:hAnsi="Times New Roman"/>
          <w:bCs/>
          <w:sz w:val="28"/>
          <w:szCs w:val="28"/>
          <w:lang w:val="uk-UA"/>
        </w:rPr>
        <w:t>внести</w:t>
      </w:r>
      <w:proofErr w:type="spellEnd"/>
      <w:r>
        <w:rPr>
          <w:rFonts w:ascii="Times New Roman" w:hAnsi="Times New Roman"/>
          <w:bCs/>
          <w:sz w:val="28"/>
          <w:szCs w:val="28"/>
          <w:lang w:val="uk-UA"/>
        </w:rPr>
        <w:t xml:space="preserve"> відповідні зміни.</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 xml:space="preserve">Основні причини необхідності розробки нового генерального плану:  </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1. Визначення перспективного економічного і територіального розвитку села на основі комплексної оцінки соціальних, інженерно-транспортних, екологічних та інших передумов і обмежень використання території.</w:t>
      </w: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2. Визначення пріоритетності використання та забудови території села.</w:t>
      </w:r>
    </w:p>
    <w:p w:rsidR="002F0749" w:rsidRDefault="002F0749" w:rsidP="002F0749">
      <w:pPr>
        <w:spacing w:after="120" w:line="240" w:lineRule="auto"/>
        <w:ind w:firstLine="567"/>
        <w:contextualSpacing/>
        <w:jc w:val="both"/>
        <w:rPr>
          <w:rFonts w:ascii="Times New Roman" w:hAnsi="Times New Roman"/>
          <w:bCs/>
          <w:sz w:val="28"/>
          <w:szCs w:val="28"/>
          <w:lang w:val="uk-UA"/>
        </w:rPr>
      </w:pPr>
    </w:p>
    <w:p w:rsidR="002F0749" w:rsidRDefault="002F0749" w:rsidP="002F0749">
      <w:pPr>
        <w:spacing w:after="120" w:line="240" w:lineRule="auto"/>
        <w:ind w:firstLine="567"/>
        <w:contextualSpacing/>
        <w:jc w:val="both"/>
        <w:rPr>
          <w:rFonts w:ascii="Times New Roman" w:hAnsi="Times New Roman"/>
          <w:bCs/>
          <w:sz w:val="28"/>
          <w:szCs w:val="28"/>
          <w:lang w:val="uk-UA"/>
        </w:rPr>
      </w:pPr>
      <w:r>
        <w:rPr>
          <w:rFonts w:ascii="Times New Roman" w:hAnsi="Times New Roman"/>
          <w:bCs/>
          <w:sz w:val="28"/>
          <w:szCs w:val="28"/>
          <w:lang w:val="uk-UA"/>
        </w:rPr>
        <w:t xml:space="preserve">Генеральний план села </w:t>
      </w:r>
      <w:proofErr w:type="spellStart"/>
      <w:r>
        <w:rPr>
          <w:rFonts w:ascii="Times New Roman" w:hAnsi="Times New Roman"/>
          <w:bCs/>
          <w:sz w:val="28"/>
          <w:szCs w:val="28"/>
          <w:lang w:val="uk-UA"/>
        </w:rPr>
        <w:t>Демня</w:t>
      </w:r>
      <w:proofErr w:type="spellEnd"/>
      <w:r>
        <w:rPr>
          <w:rFonts w:ascii="Times New Roman" w:hAnsi="Times New Roman"/>
          <w:bCs/>
          <w:sz w:val="28"/>
          <w:szCs w:val="28"/>
          <w:lang w:val="uk-UA"/>
        </w:rPr>
        <w:t xml:space="preserve"> розроблений на замовлення Тростянецької сільської ради Тростянецької об’єднаної територіальної громади Миколаївського району на підставі рішення Тростянецької сільради Тростянецької ОТГ № 174 від 22.03.2016 р. про розроблення генерального плану с. </w:t>
      </w:r>
      <w:proofErr w:type="spellStart"/>
      <w:r>
        <w:rPr>
          <w:rFonts w:ascii="Times New Roman" w:hAnsi="Times New Roman"/>
          <w:bCs/>
          <w:sz w:val="28"/>
          <w:szCs w:val="28"/>
          <w:lang w:val="uk-UA"/>
        </w:rPr>
        <w:t>Демні</w:t>
      </w:r>
      <w:proofErr w:type="spellEnd"/>
      <w:r>
        <w:rPr>
          <w:rFonts w:ascii="Times New Roman" w:hAnsi="Times New Roman"/>
          <w:bCs/>
          <w:sz w:val="28"/>
          <w:szCs w:val="28"/>
          <w:lang w:val="uk-UA"/>
        </w:rPr>
        <w:t xml:space="preserve"> на заміну діючого попереднього генплану села (під назвою «Проект планування і забудови с. </w:t>
      </w:r>
      <w:proofErr w:type="spellStart"/>
      <w:r>
        <w:rPr>
          <w:rFonts w:ascii="Times New Roman" w:hAnsi="Times New Roman"/>
          <w:bCs/>
          <w:sz w:val="28"/>
          <w:szCs w:val="28"/>
          <w:lang w:val="uk-UA"/>
        </w:rPr>
        <w:t>Димівка</w:t>
      </w:r>
      <w:proofErr w:type="spellEnd"/>
      <w:r>
        <w:rPr>
          <w:rFonts w:ascii="Times New Roman" w:hAnsi="Times New Roman"/>
          <w:bCs/>
          <w:sz w:val="28"/>
          <w:szCs w:val="28"/>
          <w:lang w:val="uk-UA"/>
        </w:rPr>
        <w:t>»), розробленого л/ф інституту «</w:t>
      </w:r>
      <w:proofErr w:type="spellStart"/>
      <w:r>
        <w:rPr>
          <w:rFonts w:ascii="Times New Roman" w:hAnsi="Times New Roman"/>
          <w:bCs/>
          <w:sz w:val="28"/>
          <w:szCs w:val="28"/>
          <w:lang w:val="uk-UA"/>
        </w:rPr>
        <w:t>Укрземпроект</w:t>
      </w:r>
      <w:proofErr w:type="spellEnd"/>
      <w:r>
        <w:rPr>
          <w:rFonts w:ascii="Times New Roman" w:hAnsi="Times New Roman"/>
          <w:bCs/>
          <w:sz w:val="28"/>
          <w:szCs w:val="28"/>
          <w:lang w:val="uk-UA"/>
        </w:rPr>
        <w:t>» у 1974 році.</w:t>
      </w:r>
    </w:p>
    <w:p w:rsidR="002F0749" w:rsidRDefault="002F0749" w:rsidP="002F0749">
      <w:pPr>
        <w:spacing w:after="120" w:line="240" w:lineRule="auto"/>
        <w:ind w:firstLine="567"/>
        <w:contextualSpacing/>
        <w:jc w:val="both"/>
        <w:rPr>
          <w:rFonts w:ascii="Times New Roman" w:hAnsi="Times New Roman"/>
          <w:bCs/>
          <w:sz w:val="28"/>
          <w:szCs w:val="28"/>
          <w:lang w:val="uk-UA"/>
        </w:rPr>
      </w:pPr>
    </w:p>
    <w:p w:rsidR="002F0749" w:rsidRDefault="002F0749" w:rsidP="002F0749">
      <w:pPr>
        <w:spacing w:after="120" w:line="240" w:lineRule="auto"/>
        <w:ind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Проект розроблятиметься відповідно до:</w:t>
      </w:r>
    </w:p>
    <w:p w:rsidR="002F0749" w:rsidRDefault="002F0749" w:rsidP="002F0749">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Земельного, Водного та Лісового кодексів України;</w:t>
      </w:r>
    </w:p>
    <w:p w:rsidR="002F0749" w:rsidRDefault="002F0749" w:rsidP="002F0749">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Закону України «Про регулювання містобудівної діяльності»;</w:t>
      </w:r>
    </w:p>
    <w:p w:rsidR="002F0749" w:rsidRDefault="002F0749" w:rsidP="002F0749">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Закону України «Про відходи»;</w:t>
      </w:r>
    </w:p>
    <w:p w:rsidR="002F0749" w:rsidRDefault="002F0749" w:rsidP="002F0749">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Закону України «Про охорону атмосферного повітря»;</w:t>
      </w:r>
    </w:p>
    <w:p w:rsidR="002F0749" w:rsidRDefault="002F0749" w:rsidP="002F0749">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Закону України «Про охорону навколишнього природного середовища»;</w:t>
      </w:r>
    </w:p>
    <w:p w:rsidR="002F0749" w:rsidRDefault="002F0749" w:rsidP="002F0749">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Закону України «Про оцінку впливу на довкілля»;</w:t>
      </w:r>
    </w:p>
    <w:p w:rsidR="002F0749" w:rsidRDefault="002F0749" w:rsidP="002F0749">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Закону України «Про природно-заповідний фонд України»;</w:t>
      </w:r>
    </w:p>
    <w:p w:rsidR="002F0749" w:rsidRDefault="002F0749" w:rsidP="002F0749">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Закону України «Про екологічну мережу України»;</w:t>
      </w:r>
    </w:p>
    <w:p w:rsidR="002F0749" w:rsidRDefault="002F0749" w:rsidP="002F0749">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Закону України «Про охорону земель»;</w:t>
      </w:r>
    </w:p>
    <w:p w:rsidR="002F0749" w:rsidRDefault="002F0749" w:rsidP="002F0749">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Закон України «Про рослинний світ»;</w:t>
      </w:r>
    </w:p>
    <w:p w:rsidR="002F0749" w:rsidRDefault="002F0749" w:rsidP="002F0749">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Закону України «Про тваринний світ»;</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Законом України «Про стратегічну екологічну оцінку»;</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Б.1.1-15:2012 «Склад та зміст генерального плану населеного пункту»;</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Б.2.2-12:2018 «Планування і забудова територій»;</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Б.2.2-5:2011 «Благоустрій територій»;</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ДБН В.2.3-5:2018 «Вулиці та дороги населених пунктів»; </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ДСП - 173 «Державні санітарні правила планування та забудови населених пунктів»;</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t>ДБН Б.2.4-1-94 «Планування і забудова міських поселень»;</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В.2.5-75:2013 «Каналізація. Зовнішні мережі та споруди. Основні положення проектування»;</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В.2.5-74:2013 «Водопостачання. Зовнішні мережі та споруди.</w:t>
      </w:r>
      <w:r>
        <w:rPr>
          <w:lang w:val="ru-RU"/>
        </w:rPr>
        <w:t xml:space="preserve"> </w:t>
      </w:r>
      <w:r>
        <w:rPr>
          <w:rFonts w:ascii="Times New Roman" w:hAnsi="Times New Roman"/>
          <w:color w:val="000000"/>
          <w:sz w:val="28"/>
          <w:szCs w:val="28"/>
          <w:lang w:val="uk-UA"/>
        </w:rPr>
        <w:t>Основні положення проектування»;</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sz w:val="28"/>
          <w:szCs w:val="28"/>
          <w:lang w:val="uk-UA"/>
        </w:rPr>
        <w:t>ДБН Б.1.1-14:2012 «Склад та зміст детального плану території»;</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ДСТУ-Н Б Б.1-1-12:2011 «Настанова про склад та зміст плану зонування території (</w:t>
      </w:r>
      <w:proofErr w:type="spellStart"/>
      <w:r>
        <w:rPr>
          <w:rFonts w:ascii="Times New Roman" w:hAnsi="Times New Roman"/>
          <w:color w:val="000000"/>
          <w:sz w:val="28"/>
          <w:szCs w:val="28"/>
          <w:lang w:val="uk-UA"/>
        </w:rPr>
        <w:t>зонінг</w:t>
      </w:r>
      <w:proofErr w:type="spellEnd"/>
      <w:r>
        <w:rPr>
          <w:rFonts w:ascii="Times New Roman" w:hAnsi="Times New Roman"/>
          <w:color w:val="000000"/>
          <w:sz w:val="28"/>
          <w:szCs w:val="28"/>
          <w:lang w:val="uk-UA"/>
        </w:rPr>
        <w:t>)»;</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СНіП</w:t>
      </w:r>
      <w:proofErr w:type="spellEnd"/>
      <w:r>
        <w:rPr>
          <w:rFonts w:ascii="Times New Roman" w:hAnsi="Times New Roman"/>
          <w:color w:val="000000"/>
          <w:sz w:val="28"/>
          <w:szCs w:val="28"/>
          <w:lang w:val="uk-UA"/>
        </w:rPr>
        <w:t xml:space="preserve"> 1.02.01 «Охорона навколишнього природного середовища»;</w:t>
      </w:r>
    </w:p>
    <w:p w:rsidR="002F0749" w:rsidRDefault="002F0749" w:rsidP="002F0749">
      <w:pPr>
        <w:pStyle w:val="a5"/>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Наказу міністерства охорони здоров'я України № 173 від 19.06.96 «Про затвердження Державних санітарних правил планування та забудови населених пунктів».</w:t>
      </w:r>
    </w:p>
    <w:p w:rsidR="002F0749" w:rsidRDefault="002F0749" w:rsidP="002F0749">
      <w:pPr>
        <w:pStyle w:val="a3"/>
        <w:spacing w:before="0" w:beforeAutospacing="0" w:after="120" w:afterAutospacing="0"/>
        <w:ind w:firstLine="567"/>
        <w:contextualSpacing/>
        <w:jc w:val="both"/>
        <w:textAlignment w:val="baseline"/>
        <w:rPr>
          <w:i/>
          <w:color w:val="000000"/>
          <w:sz w:val="28"/>
          <w:szCs w:val="28"/>
          <w:u w:val="single"/>
          <w:shd w:val="clear" w:color="auto" w:fill="FFFFFF"/>
          <w:lang w:val="uk-UA"/>
        </w:rPr>
      </w:pPr>
      <w:r>
        <w:rPr>
          <w:i/>
          <w:color w:val="000000"/>
          <w:sz w:val="28"/>
          <w:szCs w:val="28"/>
          <w:u w:val="single"/>
          <w:shd w:val="clear" w:color="auto" w:fill="FFFFFF"/>
          <w:lang w:val="uk-UA"/>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Село </w:t>
      </w:r>
      <w:proofErr w:type="spellStart"/>
      <w:r>
        <w:rPr>
          <w:sz w:val="28"/>
          <w:szCs w:val="28"/>
          <w:lang w:val="uk-UA"/>
        </w:rPr>
        <w:t>Демня</w:t>
      </w:r>
      <w:proofErr w:type="spellEnd"/>
      <w:r>
        <w:rPr>
          <w:sz w:val="28"/>
          <w:szCs w:val="28"/>
          <w:lang w:val="uk-UA"/>
        </w:rPr>
        <w:t xml:space="preserve"> входить до складу Тростянецької сільської ради Тростянецької об’єднаної територіальної громади Миколаївського району Львівської області.</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Село знаходиться в північно-західній частині району на відстані 6 км від районного центру –  м. Миколаєва, і на відстані від обласного центру – м. Львова – 35 км. </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Протяжність села із заходу на схід становить приблизно 2,6 км, з півночі на південь – 1,5 км. </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Через </w:t>
      </w:r>
      <w:proofErr w:type="spellStart"/>
      <w:r>
        <w:rPr>
          <w:sz w:val="28"/>
          <w:szCs w:val="28"/>
          <w:lang w:val="uk-UA"/>
        </w:rPr>
        <w:t>Демню</w:t>
      </w:r>
      <w:proofErr w:type="spellEnd"/>
      <w:r>
        <w:rPr>
          <w:sz w:val="28"/>
          <w:szCs w:val="28"/>
          <w:lang w:val="uk-UA"/>
        </w:rPr>
        <w:t xml:space="preserve"> протікає річка Зубра, що є лівою притокою Дністра.</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Через дане село проходять автодороги місцевого значення в напрямках на села Заклад, </w:t>
      </w:r>
      <w:proofErr w:type="spellStart"/>
      <w:r>
        <w:rPr>
          <w:sz w:val="28"/>
          <w:szCs w:val="28"/>
          <w:lang w:val="uk-UA"/>
        </w:rPr>
        <w:t>Добряни</w:t>
      </w:r>
      <w:proofErr w:type="spellEnd"/>
      <w:r>
        <w:rPr>
          <w:sz w:val="28"/>
          <w:szCs w:val="28"/>
          <w:lang w:val="uk-UA"/>
        </w:rPr>
        <w:t xml:space="preserve">, Луб’яне. Основний </w:t>
      </w:r>
      <w:proofErr w:type="spellStart"/>
      <w:r>
        <w:rPr>
          <w:sz w:val="28"/>
          <w:szCs w:val="28"/>
          <w:lang w:val="uk-UA"/>
        </w:rPr>
        <w:t>доїзд</w:t>
      </w:r>
      <w:proofErr w:type="spellEnd"/>
      <w:r>
        <w:rPr>
          <w:sz w:val="28"/>
          <w:szCs w:val="28"/>
          <w:lang w:val="uk-UA"/>
        </w:rPr>
        <w:t xml:space="preserve"> до села здійснюється зі сторони с Закладу від  міжнародної автотраси Київ – Чоп (М-06). </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Площа території села </w:t>
      </w:r>
      <w:proofErr w:type="spellStart"/>
      <w:r>
        <w:rPr>
          <w:sz w:val="28"/>
          <w:szCs w:val="28"/>
          <w:lang w:val="uk-UA"/>
        </w:rPr>
        <w:t>Демня</w:t>
      </w:r>
      <w:proofErr w:type="spellEnd"/>
      <w:r>
        <w:rPr>
          <w:sz w:val="28"/>
          <w:szCs w:val="28"/>
          <w:lang w:val="uk-UA"/>
        </w:rPr>
        <w:t xml:space="preserve"> становить орієнтовно 381 га. Кількість постійного населення села станом на 1.01.2016 року складає 1629 осіб.</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lastRenderedPageBreak/>
        <w:t xml:space="preserve">В геоморфологічному відношенні с. </w:t>
      </w:r>
      <w:proofErr w:type="spellStart"/>
      <w:r>
        <w:rPr>
          <w:sz w:val="28"/>
          <w:szCs w:val="28"/>
          <w:lang w:val="uk-UA"/>
        </w:rPr>
        <w:t>Демня</w:t>
      </w:r>
      <w:proofErr w:type="spellEnd"/>
      <w:r>
        <w:rPr>
          <w:sz w:val="28"/>
          <w:szCs w:val="28"/>
          <w:lang w:val="uk-UA"/>
        </w:rPr>
        <w:t xml:space="preserve"> знаходиться в межах структурної </w:t>
      </w:r>
      <w:proofErr w:type="spellStart"/>
      <w:r>
        <w:rPr>
          <w:sz w:val="28"/>
          <w:szCs w:val="28"/>
          <w:lang w:val="uk-UA"/>
        </w:rPr>
        <w:t>Опільської</w:t>
      </w:r>
      <w:proofErr w:type="spellEnd"/>
      <w:r>
        <w:rPr>
          <w:sz w:val="28"/>
          <w:szCs w:val="28"/>
          <w:lang w:val="uk-UA"/>
        </w:rPr>
        <w:t xml:space="preserve"> скульптурної розчленованої височини Подільського плато.</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Поверхня землі являє слабо хвилясто-горбисту рівнину. Загальний ухил рельєфу спостерігається в південно-західному напрямку, а також до долини річки Зубра. Найнижчі висоти (255 м) приурочені до заплави річки. Найвищі абсолютні висоти (до 296 м, 300 м) наявні на пагорбах, відповідно, на лівобережній і правобережній околицях села.</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Клімат району </w:t>
      </w:r>
      <w:proofErr w:type="spellStart"/>
      <w:r>
        <w:rPr>
          <w:sz w:val="28"/>
          <w:szCs w:val="28"/>
          <w:lang w:val="uk-UA"/>
        </w:rPr>
        <w:t>помірно</w:t>
      </w:r>
      <w:proofErr w:type="spellEnd"/>
      <w:r>
        <w:rPr>
          <w:sz w:val="28"/>
          <w:szCs w:val="28"/>
          <w:lang w:val="uk-UA"/>
        </w:rPr>
        <w:t>-континентальний з порівняно м'якою зимою, довготривалою вологою весною і теплою сухою осінню. Середньорічна температура повітря – +7,</w:t>
      </w:r>
      <w:r>
        <w:rPr>
          <w:sz w:val="28"/>
          <w:szCs w:val="28"/>
          <w:vertAlign w:val="superscript"/>
          <w:lang w:val="uk-UA"/>
        </w:rPr>
        <w:t>°С</w:t>
      </w:r>
      <w:r>
        <w:rPr>
          <w:sz w:val="28"/>
          <w:szCs w:val="28"/>
          <w:lang w:val="uk-UA"/>
        </w:rPr>
        <w:t>. Найхолодніший місяць січень (середня температура +17</w:t>
      </w:r>
      <w:r>
        <w:rPr>
          <w:sz w:val="28"/>
          <w:szCs w:val="28"/>
          <w:vertAlign w:val="superscript"/>
          <w:lang w:val="uk-UA"/>
        </w:rPr>
        <w:t>°</w:t>
      </w:r>
      <w:r>
        <w:rPr>
          <w:sz w:val="28"/>
          <w:szCs w:val="28"/>
          <w:lang w:val="uk-UA"/>
        </w:rPr>
        <w:t>С). За кількістю опадів район відноситься до помірного зволоження. Середньорічна сума опадів складає 729 мм при мінімальній кількості опадів в січні-лютому (77-65 мм) і максимальній в червні і липні - 200-220 мм. Постійний сніговий покрив встановлюється в другій-третій декаді грудня, а сходить сніг у другій-третій декаді березня. Середня багаторічна вологість повітря по роках змінюється дуже мало і складає 78-80 %.</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Гідрографічна сітка району представлена річкою Зубра, яка є лівою притокою р. Дністра, а бере початок на території м. Львова (в районі </w:t>
      </w:r>
      <w:proofErr w:type="spellStart"/>
      <w:r>
        <w:rPr>
          <w:sz w:val="28"/>
          <w:szCs w:val="28"/>
          <w:lang w:val="uk-UA"/>
        </w:rPr>
        <w:t>Сихівського</w:t>
      </w:r>
      <w:proofErr w:type="spellEnd"/>
      <w:r>
        <w:rPr>
          <w:sz w:val="28"/>
          <w:szCs w:val="28"/>
          <w:lang w:val="uk-UA"/>
        </w:rPr>
        <w:t xml:space="preserve"> житлового масиву). Річка протікає через село в напрямку зі сходу на південний захід. Загальна довжина р. Зубри становить приблизно 46 км. Річище </w:t>
      </w:r>
      <w:proofErr w:type="spellStart"/>
      <w:r>
        <w:rPr>
          <w:sz w:val="28"/>
          <w:szCs w:val="28"/>
          <w:lang w:val="uk-UA"/>
        </w:rPr>
        <w:t>помірно</w:t>
      </w:r>
      <w:proofErr w:type="spellEnd"/>
      <w:r>
        <w:rPr>
          <w:sz w:val="28"/>
          <w:szCs w:val="28"/>
          <w:lang w:val="uk-UA"/>
        </w:rPr>
        <w:t xml:space="preserve"> звивисте, є перекати. Ширина пойми серед забудови села становить 20-100 м, а ширина русла  –  5-10 м, місцями до 20. Глибина р. Зубри становить 0,5-1 м. Середній ухил річки становить 1,96 м/км.</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На надзаплавній терасі в північно-західній та східній частинах села наявні невеликі ставки.</w:t>
      </w:r>
    </w:p>
    <w:p w:rsidR="002F0749" w:rsidRDefault="002F0749" w:rsidP="002F0749">
      <w:pPr>
        <w:pStyle w:val="a3"/>
        <w:tabs>
          <w:tab w:val="left" w:pos="993"/>
        </w:tabs>
        <w:spacing w:before="0" w:beforeAutospacing="0" w:after="0" w:afterAutospacing="0"/>
        <w:ind w:firstLine="567"/>
        <w:contextualSpacing/>
        <w:jc w:val="both"/>
        <w:textAlignment w:val="baseline"/>
        <w:rPr>
          <w:sz w:val="28"/>
          <w:szCs w:val="28"/>
          <w:lang w:val="uk-UA"/>
        </w:rPr>
      </w:pPr>
      <w:r>
        <w:rPr>
          <w:sz w:val="28"/>
          <w:szCs w:val="28"/>
          <w:lang w:val="uk-UA"/>
        </w:rPr>
        <w:t>Живлення р. Зубри змішане, ґрунтово-</w:t>
      </w:r>
      <w:proofErr w:type="spellStart"/>
      <w:r>
        <w:rPr>
          <w:sz w:val="28"/>
          <w:szCs w:val="28"/>
          <w:lang w:val="uk-UA"/>
        </w:rPr>
        <w:t>снігово</w:t>
      </w:r>
      <w:proofErr w:type="spellEnd"/>
      <w:r>
        <w:rPr>
          <w:sz w:val="28"/>
          <w:szCs w:val="28"/>
          <w:lang w:val="uk-UA"/>
        </w:rPr>
        <w:t>-дощове. Максимальне підняття рівня води спостерігається під час весняної повені та літніх дощових паводків.</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В гідрологічному відношенні район характеризується наявністю підземних вод у відкладах четвертинної системи, міоценових і </w:t>
      </w:r>
      <w:proofErr w:type="spellStart"/>
      <w:r>
        <w:rPr>
          <w:sz w:val="28"/>
          <w:szCs w:val="28"/>
          <w:lang w:val="uk-UA"/>
        </w:rPr>
        <w:t>верхньокрейдових</w:t>
      </w:r>
      <w:proofErr w:type="spellEnd"/>
      <w:r>
        <w:rPr>
          <w:sz w:val="28"/>
          <w:szCs w:val="28"/>
          <w:lang w:val="uk-UA"/>
        </w:rPr>
        <w:t xml:space="preserve"> відкладах. </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Водоносний горизонт четвертинних відкладів представлений алювіальними і </w:t>
      </w:r>
      <w:proofErr w:type="spellStart"/>
      <w:r>
        <w:rPr>
          <w:sz w:val="28"/>
          <w:szCs w:val="28"/>
          <w:lang w:val="uk-UA"/>
        </w:rPr>
        <w:t>елювіально</w:t>
      </w:r>
      <w:proofErr w:type="spellEnd"/>
      <w:r>
        <w:rPr>
          <w:sz w:val="28"/>
          <w:szCs w:val="28"/>
          <w:lang w:val="uk-UA"/>
        </w:rPr>
        <w:t xml:space="preserve">-делювіальними відкладами. Ґрунтові води інфільтраційні, глибина залягання вод 1-5 м і більше. Питомі </w:t>
      </w:r>
      <w:proofErr w:type="spellStart"/>
      <w:r>
        <w:rPr>
          <w:sz w:val="28"/>
          <w:szCs w:val="28"/>
          <w:lang w:val="uk-UA"/>
        </w:rPr>
        <w:t>дебети</w:t>
      </w:r>
      <w:proofErr w:type="spellEnd"/>
      <w:r>
        <w:rPr>
          <w:sz w:val="28"/>
          <w:szCs w:val="28"/>
          <w:lang w:val="uk-UA"/>
        </w:rPr>
        <w:t xml:space="preserve"> свердловин і криниць складають 0,02-1,7 дм</w:t>
      </w:r>
      <w:r>
        <w:rPr>
          <w:sz w:val="28"/>
          <w:szCs w:val="28"/>
          <w:vertAlign w:val="superscript"/>
          <w:lang w:val="uk-UA"/>
        </w:rPr>
        <w:t>3</w:t>
      </w:r>
      <w:r>
        <w:rPr>
          <w:sz w:val="28"/>
          <w:szCs w:val="28"/>
          <w:lang w:val="uk-UA"/>
        </w:rPr>
        <w:t xml:space="preserve">/с. Води </w:t>
      </w:r>
      <w:proofErr w:type="spellStart"/>
      <w:r>
        <w:rPr>
          <w:sz w:val="28"/>
          <w:szCs w:val="28"/>
          <w:lang w:val="uk-UA"/>
        </w:rPr>
        <w:t>гідрокарбонатно</w:t>
      </w:r>
      <w:proofErr w:type="spellEnd"/>
      <w:r>
        <w:rPr>
          <w:sz w:val="28"/>
          <w:szCs w:val="28"/>
          <w:lang w:val="uk-UA"/>
        </w:rPr>
        <w:t xml:space="preserve">-кальцієві. Водоносний горизонт четвертинних відкладів використовується населенням для господарсько-питного водопостачання. </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Водоносний горизонт міоценових відкладів приурочений до третинних вапняків, пісків. Глибина залягання водоносного горизонту 15-80 м. Води слабо </w:t>
      </w:r>
      <w:r>
        <w:rPr>
          <w:sz w:val="28"/>
          <w:szCs w:val="28"/>
          <w:lang w:val="uk-UA"/>
        </w:rPr>
        <w:lastRenderedPageBreak/>
        <w:t xml:space="preserve">напірні, </w:t>
      </w:r>
      <w:proofErr w:type="spellStart"/>
      <w:r>
        <w:rPr>
          <w:sz w:val="28"/>
          <w:szCs w:val="28"/>
          <w:lang w:val="uk-UA"/>
        </w:rPr>
        <w:t>тріщинного</w:t>
      </w:r>
      <w:proofErr w:type="spellEnd"/>
      <w:r>
        <w:rPr>
          <w:sz w:val="28"/>
          <w:szCs w:val="28"/>
          <w:lang w:val="uk-UA"/>
        </w:rPr>
        <w:t xml:space="preserve"> типу. </w:t>
      </w:r>
      <w:proofErr w:type="spellStart"/>
      <w:r>
        <w:rPr>
          <w:sz w:val="28"/>
          <w:szCs w:val="28"/>
          <w:lang w:val="uk-UA"/>
        </w:rPr>
        <w:t>Дебети</w:t>
      </w:r>
      <w:proofErr w:type="spellEnd"/>
      <w:r>
        <w:rPr>
          <w:sz w:val="28"/>
          <w:szCs w:val="28"/>
          <w:lang w:val="uk-UA"/>
        </w:rPr>
        <w:t xml:space="preserve"> свердловин складають від 0,5 до 2 дм3/с і більше. За хімічним складом води </w:t>
      </w:r>
      <w:proofErr w:type="spellStart"/>
      <w:r>
        <w:rPr>
          <w:sz w:val="28"/>
          <w:szCs w:val="28"/>
          <w:lang w:val="uk-UA"/>
        </w:rPr>
        <w:t>гідрокарбонатні</w:t>
      </w:r>
      <w:proofErr w:type="spellEnd"/>
      <w:r>
        <w:rPr>
          <w:sz w:val="28"/>
          <w:szCs w:val="28"/>
          <w:lang w:val="uk-UA"/>
        </w:rPr>
        <w:t xml:space="preserve"> кальцієві зі слабкою мінералізацією. </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Водоносний комплекс </w:t>
      </w:r>
      <w:proofErr w:type="spellStart"/>
      <w:r>
        <w:rPr>
          <w:sz w:val="28"/>
          <w:szCs w:val="28"/>
          <w:lang w:val="uk-UA"/>
        </w:rPr>
        <w:t>верхньокрейдових</w:t>
      </w:r>
      <w:proofErr w:type="spellEnd"/>
      <w:r>
        <w:rPr>
          <w:sz w:val="28"/>
          <w:szCs w:val="28"/>
          <w:lang w:val="uk-UA"/>
        </w:rPr>
        <w:t xml:space="preserve"> відкладів пов’язаний з вапняками, крейдою, мергелями, характеризується досить високою водоносністю, яка залежить від ступеня тріщинуватості порід, розкритий свердловинами глибиною до 100 м. </w:t>
      </w:r>
      <w:proofErr w:type="spellStart"/>
      <w:r>
        <w:rPr>
          <w:sz w:val="28"/>
          <w:szCs w:val="28"/>
          <w:lang w:val="uk-UA"/>
        </w:rPr>
        <w:t>Дебети</w:t>
      </w:r>
      <w:proofErr w:type="spellEnd"/>
      <w:r>
        <w:rPr>
          <w:sz w:val="28"/>
          <w:szCs w:val="28"/>
          <w:lang w:val="uk-UA"/>
        </w:rPr>
        <w:t xml:space="preserve"> свердловин 2-8 дм</w:t>
      </w:r>
      <w:r>
        <w:rPr>
          <w:sz w:val="28"/>
          <w:szCs w:val="28"/>
          <w:vertAlign w:val="superscript"/>
          <w:lang w:val="uk-UA"/>
        </w:rPr>
        <w:t>3</w:t>
      </w:r>
      <w:r>
        <w:rPr>
          <w:sz w:val="28"/>
          <w:szCs w:val="28"/>
          <w:lang w:val="uk-UA"/>
        </w:rPr>
        <w:t xml:space="preserve">/с. Води прісні, </w:t>
      </w:r>
      <w:proofErr w:type="spellStart"/>
      <w:r>
        <w:rPr>
          <w:sz w:val="28"/>
          <w:szCs w:val="28"/>
          <w:lang w:val="uk-UA"/>
        </w:rPr>
        <w:t>гідрокарбонатно</w:t>
      </w:r>
      <w:proofErr w:type="spellEnd"/>
      <w:r>
        <w:rPr>
          <w:sz w:val="28"/>
          <w:szCs w:val="28"/>
          <w:lang w:val="uk-UA"/>
        </w:rPr>
        <w:t xml:space="preserve">-кальцієві. Даний водоносний комплекс є основним джерелом водопостачання громадських об’єктів та виробничих </w:t>
      </w:r>
      <w:proofErr w:type="spellStart"/>
      <w:r>
        <w:rPr>
          <w:sz w:val="28"/>
          <w:szCs w:val="28"/>
          <w:lang w:val="uk-UA"/>
        </w:rPr>
        <w:t>підриємств</w:t>
      </w:r>
      <w:proofErr w:type="spellEnd"/>
      <w:r>
        <w:rPr>
          <w:sz w:val="28"/>
          <w:szCs w:val="28"/>
          <w:lang w:val="uk-UA"/>
        </w:rPr>
        <w:t>.</w:t>
      </w:r>
    </w:p>
    <w:p w:rsidR="002F0749" w:rsidRDefault="002F0749" w:rsidP="002F0749">
      <w:pPr>
        <w:pStyle w:val="a3"/>
        <w:tabs>
          <w:tab w:val="left" w:pos="993"/>
        </w:tabs>
        <w:ind w:firstLine="567"/>
        <w:jc w:val="both"/>
        <w:textAlignment w:val="baseline"/>
        <w:rPr>
          <w:sz w:val="28"/>
          <w:szCs w:val="28"/>
          <w:lang w:val="uk-UA"/>
        </w:rPr>
      </w:pPr>
      <w:r>
        <w:rPr>
          <w:sz w:val="28"/>
          <w:szCs w:val="28"/>
          <w:lang w:val="uk-UA"/>
        </w:rPr>
        <w:t xml:space="preserve">Водопостачання житлової забудови села здійснюється переважно із шахтних колодязів. глибиною 4-15 м, які розкривають верхні водоносні горизонти, що не захищені від забруднення поверхневими та дощовими стоками. </w:t>
      </w:r>
      <w:proofErr w:type="spellStart"/>
      <w:r>
        <w:rPr>
          <w:sz w:val="28"/>
          <w:szCs w:val="28"/>
          <w:lang w:val="uk-UA"/>
        </w:rPr>
        <w:t>Дебети</w:t>
      </w:r>
      <w:proofErr w:type="spellEnd"/>
      <w:r>
        <w:rPr>
          <w:sz w:val="28"/>
          <w:szCs w:val="28"/>
          <w:lang w:val="uk-UA"/>
        </w:rPr>
        <w:t xml:space="preserve"> колодязів незначні і коливаються в межах 1-1,5 м</w:t>
      </w:r>
      <w:r>
        <w:rPr>
          <w:sz w:val="28"/>
          <w:szCs w:val="28"/>
          <w:vertAlign w:val="superscript"/>
          <w:lang w:val="uk-UA"/>
        </w:rPr>
        <w:t>3</w:t>
      </w:r>
      <w:r>
        <w:rPr>
          <w:sz w:val="28"/>
          <w:szCs w:val="28"/>
          <w:lang w:val="uk-UA"/>
        </w:rPr>
        <w:t xml:space="preserve">/годину. </w:t>
      </w:r>
    </w:p>
    <w:p w:rsidR="002F0749" w:rsidRDefault="002F0749" w:rsidP="002F0749">
      <w:pPr>
        <w:pStyle w:val="a3"/>
        <w:tabs>
          <w:tab w:val="left" w:pos="993"/>
        </w:tabs>
        <w:spacing w:before="0" w:beforeAutospacing="0" w:after="0" w:afterAutospacing="0"/>
        <w:ind w:firstLine="567"/>
        <w:contextualSpacing/>
        <w:jc w:val="both"/>
        <w:textAlignment w:val="baseline"/>
        <w:rPr>
          <w:sz w:val="28"/>
          <w:szCs w:val="28"/>
          <w:lang w:val="uk-UA"/>
        </w:rPr>
      </w:pPr>
      <w:proofErr w:type="spellStart"/>
      <w:r>
        <w:rPr>
          <w:sz w:val="28"/>
          <w:szCs w:val="28"/>
          <w:lang w:val="uk-UA"/>
        </w:rPr>
        <w:t>Рівневий</w:t>
      </w:r>
      <w:proofErr w:type="spellEnd"/>
      <w:r>
        <w:rPr>
          <w:sz w:val="28"/>
          <w:szCs w:val="28"/>
          <w:lang w:val="uk-UA"/>
        </w:rPr>
        <w:t xml:space="preserve"> режим ґрунтових вод відзначається сезонною непостійністю і залежить від метеорологічних факторів і режиму р. Зубри.</w:t>
      </w:r>
    </w:p>
    <w:p w:rsidR="002F0749" w:rsidRDefault="002F0749" w:rsidP="002F0749">
      <w:pPr>
        <w:spacing w:after="120" w:line="240" w:lineRule="auto"/>
        <w:ind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Пропозиції щодо територіального розвитку с. </w:t>
      </w:r>
      <w:proofErr w:type="spellStart"/>
      <w:r>
        <w:rPr>
          <w:rFonts w:ascii="Times New Roman" w:eastAsia="Times New Roman" w:hAnsi="Times New Roman"/>
          <w:sz w:val="28"/>
          <w:szCs w:val="28"/>
          <w:lang w:val="uk-UA" w:eastAsia="ru-RU"/>
        </w:rPr>
        <w:t>Демня</w:t>
      </w:r>
      <w:proofErr w:type="spellEnd"/>
      <w:r>
        <w:rPr>
          <w:rFonts w:ascii="Times New Roman" w:eastAsia="Times New Roman" w:hAnsi="Times New Roman"/>
          <w:sz w:val="28"/>
          <w:szCs w:val="28"/>
          <w:lang w:val="uk-UA" w:eastAsia="ru-RU"/>
        </w:rPr>
        <w:t xml:space="preserve">,  передбачають розширення межі населеного пункту.  </w:t>
      </w:r>
    </w:p>
    <w:p w:rsidR="002F0749" w:rsidRDefault="002F0749" w:rsidP="002F0749">
      <w:pPr>
        <w:spacing w:after="120" w:line="240" w:lineRule="auto"/>
        <w:ind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Село </w:t>
      </w:r>
      <w:proofErr w:type="spellStart"/>
      <w:r>
        <w:rPr>
          <w:rFonts w:ascii="Times New Roman" w:eastAsia="Times New Roman" w:hAnsi="Times New Roman"/>
          <w:sz w:val="28"/>
          <w:szCs w:val="28"/>
          <w:lang w:val="uk-UA" w:eastAsia="ru-RU"/>
        </w:rPr>
        <w:t>Демня</w:t>
      </w:r>
      <w:proofErr w:type="spellEnd"/>
      <w:r>
        <w:rPr>
          <w:rFonts w:ascii="Times New Roman" w:eastAsia="Times New Roman" w:hAnsi="Times New Roman"/>
          <w:sz w:val="28"/>
          <w:szCs w:val="28"/>
          <w:lang w:val="uk-UA" w:eastAsia="ru-RU"/>
        </w:rPr>
        <w:t xml:space="preserve"> можна вважати потенційно привабливим для інвестування у розвиток об’єктів виробництва агропромислового комплексу з відновленням сільськогосподарських підприємств та розміщенням нових об’єктів підприємницької діяльності, комерційних закладів обслуговування.</w:t>
      </w:r>
    </w:p>
    <w:p w:rsidR="002F0749" w:rsidRDefault="002F0749" w:rsidP="002F0749">
      <w:pPr>
        <w:spacing w:after="120" w:line="240" w:lineRule="auto"/>
        <w:ind w:firstLine="567"/>
        <w:contextualSpacing/>
        <w:jc w:val="both"/>
        <w:rPr>
          <w:rFonts w:ascii="Times New Roman" w:eastAsia="Times New Roman" w:hAnsi="Times New Roman"/>
          <w:sz w:val="28"/>
          <w:szCs w:val="28"/>
          <w:lang w:val="uk-UA" w:eastAsia="ru-RU"/>
        </w:rPr>
      </w:pPr>
    </w:p>
    <w:p w:rsidR="002F0749" w:rsidRDefault="002F0749" w:rsidP="002F0749">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4. Ймовірні наслідки</w:t>
      </w:r>
    </w:p>
    <w:p w:rsidR="002F0749" w:rsidRDefault="002F0749" w:rsidP="002F0749">
      <w:pPr>
        <w:spacing w:after="120" w:line="240" w:lineRule="auto"/>
        <w:ind w:firstLine="567"/>
        <w:contextualSpacing/>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 xml:space="preserve">а) Оновлення </w:t>
      </w:r>
      <w:r>
        <w:rPr>
          <w:rFonts w:ascii="Times New Roman" w:hAnsi="Times New Roman"/>
          <w:sz w:val="28"/>
          <w:szCs w:val="28"/>
          <w:shd w:val="clear" w:color="auto" w:fill="FFFFFF"/>
          <w:lang w:val="uk-UA"/>
        </w:rPr>
        <w:t xml:space="preserve">Генерального плану </w:t>
      </w:r>
      <w:r>
        <w:rPr>
          <w:rFonts w:ascii="Times New Roman" w:hAnsi="Times New Roman"/>
          <w:sz w:val="28"/>
          <w:szCs w:val="28"/>
          <w:lang w:val="uk-UA"/>
        </w:rPr>
        <w:t xml:space="preserve">села </w:t>
      </w:r>
      <w:proofErr w:type="spellStart"/>
      <w:r>
        <w:rPr>
          <w:rFonts w:ascii="Times New Roman" w:hAnsi="Times New Roman"/>
          <w:sz w:val="28"/>
          <w:szCs w:val="28"/>
          <w:lang w:val="uk-UA"/>
        </w:rPr>
        <w:t>Демня</w:t>
      </w:r>
      <w:proofErr w:type="spellEnd"/>
      <w:r>
        <w:rPr>
          <w:rFonts w:ascii="Times New Roman" w:hAnsi="Times New Roman"/>
          <w:sz w:val="28"/>
          <w:szCs w:val="28"/>
          <w:lang w:val="uk-UA"/>
        </w:rPr>
        <w:t xml:space="preserve"> Тростянецької сільської ради Тростянецької об’єднаної територіальної громади Миколаївського району Львівської області </w:t>
      </w:r>
      <w:r>
        <w:rPr>
          <w:rFonts w:ascii="Times New Roman" w:hAnsi="Times New Roman"/>
          <w:color w:val="000000"/>
          <w:sz w:val="28"/>
          <w:szCs w:val="28"/>
          <w:shd w:val="clear" w:color="auto" w:fill="FFFFFF"/>
          <w:lang w:val="uk-UA"/>
        </w:rPr>
        <w:t xml:space="preserve">не матиме </w:t>
      </w:r>
      <w:r>
        <w:rPr>
          <w:rFonts w:ascii="Times New Roman" w:hAnsi="Times New Roman"/>
          <w:sz w:val="28"/>
          <w:szCs w:val="28"/>
          <w:lang w:val="uk-UA"/>
        </w:rPr>
        <w:t xml:space="preserve">значного впливу на довкілля та здоров’я населення, </w:t>
      </w:r>
      <w:r>
        <w:rPr>
          <w:rFonts w:ascii="Times New Roman" w:eastAsia="Peterburg" w:hAnsi="Times New Roman"/>
          <w:sz w:val="28"/>
          <w:szCs w:val="28"/>
          <w:lang w:val="uk-UA"/>
        </w:rPr>
        <w:t>геологічне середовище</w:t>
      </w:r>
      <w:r>
        <w:rPr>
          <w:rFonts w:ascii="Times New Roman" w:hAnsi="Times New Roman"/>
          <w:sz w:val="28"/>
          <w:szCs w:val="28"/>
          <w:lang w:val="uk-UA"/>
        </w:rPr>
        <w:t xml:space="preserve">, </w:t>
      </w:r>
      <w:r>
        <w:rPr>
          <w:rFonts w:ascii="Times New Roman" w:eastAsia="Peterburg" w:hAnsi="Times New Roman"/>
          <w:sz w:val="28"/>
          <w:szCs w:val="28"/>
          <w:lang w:val="uk-UA"/>
        </w:rPr>
        <w:t>на флору та фауну</w:t>
      </w:r>
      <w:r>
        <w:rPr>
          <w:rFonts w:ascii="Times New Roman" w:hAnsi="Times New Roman"/>
          <w:sz w:val="28"/>
          <w:szCs w:val="28"/>
          <w:lang w:val="uk-UA"/>
        </w:rPr>
        <w:t>.</w:t>
      </w:r>
    </w:p>
    <w:p w:rsidR="002F0749" w:rsidRDefault="002F0749" w:rsidP="002F0749">
      <w:pPr>
        <w:spacing w:after="12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У зв’язку з вичерпанням дії попереднього генплану, виникла необхідність в новому генеральному плані, продиктована рядом актуальних питань, що виникли при пошуку альтернативних пріоритетів розвитку економічної діяльності селища, перспективної чисельності його населення, обсягів та форм житлового будівництва та архітектурно-планувальними проблемами. </w:t>
      </w:r>
    </w:p>
    <w:p w:rsidR="002F0749" w:rsidRDefault="002F0749" w:rsidP="002F0749">
      <w:pPr>
        <w:spacing w:after="12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Строк дії  генерального  плану села не обмежується. Зміни до  генерального  плану  села можуть вноситися сільською радою  не частіше, ніж один раз на п’ять років.</w:t>
      </w:r>
    </w:p>
    <w:p w:rsidR="002F0749" w:rsidRDefault="002F0749" w:rsidP="002F0749">
      <w:pPr>
        <w:spacing w:after="12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б) На території села </w:t>
      </w:r>
      <w:proofErr w:type="spellStart"/>
      <w:r>
        <w:rPr>
          <w:rFonts w:ascii="Times New Roman" w:hAnsi="Times New Roman"/>
          <w:sz w:val="28"/>
          <w:szCs w:val="28"/>
          <w:lang w:val="uk-UA"/>
        </w:rPr>
        <w:t>Демня</w:t>
      </w:r>
      <w:proofErr w:type="spellEnd"/>
      <w:r>
        <w:rPr>
          <w:rFonts w:ascii="Times New Roman" w:hAnsi="Times New Roman"/>
          <w:sz w:val="28"/>
          <w:szCs w:val="28"/>
          <w:lang w:val="uk-UA"/>
        </w:rPr>
        <w:t xml:space="preserve"> Тростянецької сільської ради Тростянецької об’єднаної територіальної громади Миколаївського району Львівської області відсутні об’єкти природно-заповідного фонду. На території та в околицях села знаходиться чотири об’єкти історико-культурної спадщини та розташований один об’єкт археологічної спадщини.</w:t>
      </w:r>
    </w:p>
    <w:p w:rsidR="002F0749" w:rsidRDefault="002F0749" w:rsidP="002F0749">
      <w:pPr>
        <w:pStyle w:val="rvps2"/>
        <w:shd w:val="clear" w:color="auto" w:fill="FFFFFF"/>
        <w:tabs>
          <w:tab w:val="left" w:pos="993"/>
        </w:tabs>
        <w:spacing w:before="0" w:beforeAutospacing="0" w:after="120" w:afterAutospacing="0"/>
        <w:ind w:firstLine="567"/>
        <w:contextualSpacing/>
        <w:jc w:val="both"/>
        <w:rPr>
          <w:sz w:val="28"/>
          <w:szCs w:val="28"/>
        </w:rPr>
      </w:pPr>
      <w:r>
        <w:rPr>
          <w:sz w:val="28"/>
          <w:szCs w:val="28"/>
        </w:rPr>
        <w:t xml:space="preserve">в) Зважаючи на географічне положення с. </w:t>
      </w:r>
      <w:proofErr w:type="spellStart"/>
      <w:r>
        <w:rPr>
          <w:sz w:val="28"/>
          <w:szCs w:val="28"/>
        </w:rPr>
        <w:t>Демня</w:t>
      </w:r>
      <w:proofErr w:type="spellEnd"/>
      <w:r>
        <w:rPr>
          <w:sz w:val="28"/>
          <w:szCs w:val="28"/>
        </w:rPr>
        <w:t xml:space="preserve">, транскордонні наслідки реалізації проектних рішень генплану села </w:t>
      </w:r>
      <w:proofErr w:type="spellStart"/>
      <w:r>
        <w:rPr>
          <w:sz w:val="28"/>
          <w:szCs w:val="28"/>
        </w:rPr>
        <w:t>Демня</w:t>
      </w:r>
      <w:proofErr w:type="spellEnd"/>
      <w:r>
        <w:rPr>
          <w:sz w:val="28"/>
          <w:szCs w:val="28"/>
        </w:rPr>
        <w:t xml:space="preserve"> Тростянецької сільської ради Тростянецької об’єднаної територіальної громади Миколаївського району </w:t>
      </w:r>
      <w:r>
        <w:rPr>
          <w:sz w:val="28"/>
          <w:szCs w:val="28"/>
        </w:rPr>
        <w:lastRenderedPageBreak/>
        <w:t>Львівської області для довкілля прикордонних територій, у тому числі здоров’я населення, не очікуються.</w:t>
      </w:r>
    </w:p>
    <w:p w:rsidR="002F0749" w:rsidRDefault="002F0749" w:rsidP="002F0749">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5. Розгляд альтернатив</w:t>
      </w:r>
    </w:p>
    <w:p w:rsidR="002F0749" w:rsidRDefault="002F0749" w:rsidP="002F0749">
      <w:pPr>
        <w:spacing w:after="12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Альтернативних варіантів проекту не передбачається, оскільки план дій є стандартним способом для розроблення генерального плану населеного пункту з використанням найкращих доступних </w:t>
      </w:r>
      <w:proofErr w:type="spellStart"/>
      <w:r>
        <w:rPr>
          <w:rFonts w:ascii="Times New Roman" w:hAnsi="Times New Roman"/>
          <w:sz w:val="28"/>
          <w:szCs w:val="28"/>
          <w:lang w:val="uk-UA"/>
        </w:rPr>
        <w:t>методик</w:t>
      </w:r>
      <w:proofErr w:type="spellEnd"/>
      <w:r>
        <w:rPr>
          <w:rFonts w:ascii="Times New Roman" w:hAnsi="Times New Roman"/>
          <w:sz w:val="28"/>
          <w:szCs w:val="28"/>
          <w:lang w:val="uk-UA"/>
        </w:rPr>
        <w:t xml:space="preserve">. </w:t>
      </w:r>
    </w:p>
    <w:p w:rsidR="002F0749" w:rsidRDefault="002F0749" w:rsidP="002F0749">
      <w:pPr>
        <w:spacing w:after="12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Територіальні альтернативи не розглядаються у зв’язку з неможливістю перенесення об’єкту оцінки будь-яку іншу територію.</w:t>
      </w:r>
    </w:p>
    <w:p w:rsidR="002F0749" w:rsidRDefault="002F0749" w:rsidP="002F0749">
      <w:pPr>
        <w:spacing w:after="12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Розроблення та реалізація генплану здійснюватиметься з урахуванням діючих вимог санітарного та природоохоронного законодавства. При проектуванні враховуватимуться містобудівні обмеження та особливості території.</w:t>
      </w:r>
    </w:p>
    <w:p w:rsidR="002F0749" w:rsidRDefault="002F0749" w:rsidP="002F0749">
      <w:pPr>
        <w:spacing w:after="120" w:line="240" w:lineRule="auto"/>
        <w:ind w:firstLine="567"/>
        <w:contextualSpacing/>
        <w:jc w:val="both"/>
        <w:rPr>
          <w:rFonts w:ascii="Times New Roman" w:hAnsi="Times New Roman"/>
          <w:i/>
          <w:color w:val="000000"/>
          <w:sz w:val="28"/>
          <w:szCs w:val="28"/>
          <w:shd w:val="clear" w:color="auto" w:fill="FFFFFF"/>
          <w:lang w:val="uk-UA"/>
        </w:rPr>
      </w:pPr>
      <w:r>
        <w:rPr>
          <w:rFonts w:ascii="Times New Roman" w:hAnsi="Times New Roman"/>
          <w:i/>
          <w:color w:val="000000"/>
          <w:sz w:val="28"/>
          <w:szCs w:val="28"/>
          <w:u w:val="single"/>
          <w:shd w:val="clear" w:color="auto" w:fill="FFFFFF"/>
          <w:lang w:val="uk-UA"/>
        </w:rPr>
        <w:t>6. Під час розробки СЕО передбачається використовувати наступну інформацію</w:t>
      </w:r>
    </w:p>
    <w:p w:rsidR="002F0749" w:rsidRDefault="002F0749" w:rsidP="002F0749">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доповіді про стан довкілля.</w:t>
      </w:r>
    </w:p>
    <w:p w:rsidR="002F0749" w:rsidRDefault="002F0749" w:rsidP="002F0749">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статистичну інформацію.</w:t>
      </w:r>
    </w:p>
    <w:p w:rsidR="002F0749" w:rsidRDefault="002F0749" w:rsidP="002F0749">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фонові та лабораторні дослідження стану довкілля.</w:t>
      </w:r>
    </w:p>
    <w:p w:rsidR="002F0749" w:rsidRDefault="002F0749" w:rsidP="002F0749">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дані моніторингу стану довкілля.</w:t>
      </w:r>
    </w:p>
    <w:p w:rsidR="002F0749" w:rsidRDefault="002F0749" w:rsidP="002F0749">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оцінку впливу на довкілля планової діяльності та об’єктів, які можуть мати значний вплив на довкілля.</w:t>
      </w:r>
    </w:p>
    <w:p w:rsidR="002F0749" w:rsidRDefault="002F0749" w:rsidP="002F0749">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пропозиції щодо зміни існуючого функціонального використання території. </w:t>
      </w:r>
    </w:p>
    <w:p w:rsidR="002F0749" w:rsidRDefault="002F0749" w:rsidP="002F0749">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 огляду на стратегічний характер такого виду документації як генплан, ключовим завданням у виконанні СЕО проекту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генерального плану.</w:t>
      </w:r>
    </w:p>
    <w:p w:rsidR="002F0749" w:rsidRDefault="002F0749" w:rsidP="002F0749">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Застосування цільового аналізу при проведенні СЕО дозволить встановити відповідність рішень генплану загальним цілям охорони довкілля та забезпечення безпечного для здоров’я та населення середовища існування.</w:t>
      </w:r>
    </w:p>
    <w:p w:rsidR="002F0749" w:rsidRDefault="002F0749" w:rsidP="002F0749">
      <w:pPr>
        <w:pStyle w:val="tabl"/>
        <w:spacing w:after="120" w:line="240" w:lineRule="auto"/>
        <w:ind w:left="0" w:firstLine="567"/>
        <w:contextualSpacing/>
        <w:jc w:val="both"/>
        <w:rPr>
          <w:b w:val="0"/>
          <w:i/>
          <w:color w:val="FF0000"/>
          <w:u w:val="single"/>
          <w:shd w:val="clear" w:color="auto" w:fill="FFFFFF"/>
        </w:rPr>
      </w:pPr>
      <w:r>
        <w:rPr>
          <w:b w:val="0"/>
          <w:i/>
          <w:color w:val="000000"/>
          <w:u w:val="single"/>
          <w:shd w:val="clear" w:color="auto" w:fill="FFFFFF"/>
        </w:rPr>
        <w:t>7. Заходи, для запобігання, зменшення та пом’якшення негативних наслідків виконання документа державного планування</w:t>
      </w:r>
    </w:p>
    <w:p w:rsidR="002F0749" w:rsidRDefault="002F0749" w:rsidP="002F0749">
      <w:pPr>
        <w:pStyle w:val="4"/>
        <w:shd w:val="clear" w:color="auto" w:fill="auto"/>
        <w:spacing w:after="120" w:line="240" w:lineRule="auto"/>
        <w:ind w:right="-1" w:firstLine="567"/>
        <w:contextualSpacing/>
        <w:jc w:val="both"/>
        <w:rPr>
          <w:rFonts w:ascii="Times New Roman" w:hAnsi="Times New Roman"/>
          <w:sz w:val="28"/>
          <w:szCs w:val="28"/>
        </w:rPr>
      </w:pPr>
      <w:r>
        <w:rPr>
          <w:rFonts w:ascii="Times New Roman" w:hAnsi="Times New Roman"/>
          <w:sz w:val="28"/>
          <w:szCs w:val="28"/>
        </w:rPr>
        <w:t xml:space="preserve">У ході виконання СЕО передбачається розглянути доцільність запровадження заходів із запобігання, зменшення та пом’якшення можливих негативних наслідків реалізації проектних рішень генплану села </w:t>
      </w:r>
      <w:proofErr w:type="spellStart"/>
      <w:r>
        <w:rPr>
          <w:rFonts w:ascii="Times New Roman" w:hAnsi="Times New Roman"/>
          <w:sz w:val="28"/>
          <w:szCs w:val="28"/>
        </w:rPr>
        <w:t>Демня</w:t>
      </w:r>
      <w:proofErr w:type="spellEnd"/>
      <w:r>
        <w:rPr>
          <w:rFonts w:ascii="Times New Roman" w:hAnsi="Times New Roman"/>
          <w:sz w:val="28"/>
          <w:szCs w:val="28"/>
        </w:rPr>
        <w:t xml:space="preserve"> Тростянецької сільської ради Тростянецької об’єднаної територіальної громади Миколаївського району Львівської області на довкілля та стан здоров’я населення, які мають успішні приклади впровадження в інших сільських населених пунктах, першочергово, щодо:</w:t>
      </w:r>
    </w:p>
    <w:p w:rsidR="002F0749" w:rsidRDefault="002F0749" w:rsidP="002F0749">
      <w:pPr>
        <w:pStyle w:val="4"/>
        <w:numPr>
          <w:ilvl w:val="0"/>
          <w:numId w:val="1"/>
        </w:numPr>
        <w:spacing w:after="120" w:line="240" w:lineRule="auto"/>
        <w:ind w:right="-1"/>
        <w:contextualSpacing/>
        <w:jc w:val="both"/>
        <w:rPr>
          <w:rFonts w:ascii="Times New Roman" w:hAnsi="Times New Roman"/>
          <w:sz w:val="28"/>
          <w:szCs w:val="28"/>
        </w:rPr>
      </w:pPr>
      <w:r>
        <w:rPr>
          <w:rFonts w:ascii="Times New Roman" w:hAnsi="Times New Roman"/>
          <w:sz w:val="28"/>
          <w:szCs w:val="28"/>
        </w:rPr>
        <w:t>формування планувальної структури та просторової композиції забудови населеного пункту;</w:t>
      </w:r>
    </w:p>
    <w:p w:rsidR="002F0749" w:rsidRDefault="002F0749" w:rsidP="002F0749">
      <w:pPr>
        <w:pStyle w:val="4"/>
        <w:numPr>
          <w:ilvl w:val="0"/>
          <w:numId w:val="1"/>
        </w:numPr>
        <w:spacing w:after="120" w:line="240" w:lineRule="auto"/>
        <w:ind w:right="-1"/>
        <w:contextualSpacing/>
        <w:jc w:val="both"/>
        <w:rPr>
          <w:rFonts w:ascii="Times New Roman" w:hAnsi="Times New Roman"/>
          <w:sz w:val="28"/>
          <w:szCs w:val="28"/>
        </w:rPr>
      </w:pPr>
      <w:r>
        <w:rPr>
          <w:rFonts w:ascii="Times New Roman" w:hAnsi="Times New Roman"/>
          <w:sz w:val="28"/>
          <w:szCs w:val="28"/>
        </w:rPr>
        <w:t>вдосконалення структури вуличної мережі, організація руху транспорту;</w:t>
      </w:r>
    </w:p>
    <w:p w:rsidR="002F0749" w:rsidRDefault="002F0749" w:rsidP="002F0749">
      <w:pPr>
        <w:pStyle w:val="4"/>
        <w:numPr>
          <w:ilvl w:val="0"/>
          <w:numId w:val="1"/>
        </w:numPr>
        <w:spacing w:after="120" w:line="240" w:lineRule="auto"/>
        <w:ind w:right="-1"/>
        <w:contextualSpacing/>
        <w:jc w:val="both"/>
        <w:rPr>
          <w:rFonts w:ascii="Times New Roman" w:hAnsi="Times New Roman"/>
          <w:sz w:val="28"/>
          <w:szCs w:val="28"/>
        </w:rPr>
      </w:pPr>
      <w:r>
        <w:rPr>
          <w:rFonts w:ascii="Times New Roman" w:hAnsi="Times New Roman"/>
          <w:sz w:val="28"/>
          <w:szCs w:val="28"/>
        </w:rPr>
        <w:t>розвитку інженерної інфраструктури;</w:t>
      </w:r>
    </w:p>
    <w:p w:rsidR="002F0749" w:rsidRDefault="002F0749" w:rsidP="002F0749">
      <w:pPr>
        <w:pStyle w:val="4"/>
        <w:numPr>
          <w:ilvl w:val="0"/>
          <w:numId w:val="1"/>
        </w:numPr>
        <w:spacing w:after="120" w:line="240" w:lineRule="auto"/>
        <w:ind w:right="-1"/>
        <w:contextualSpacing/>
        <w:jc w:val="both"/>
        <w:rPr>
          <w:rFonts w:ascii="Times New Roman" w:hAnsi="Times New Roman"/>
          <w:sz w:val="28"/>
          <w:szCs w:val="28"/>
        </w:rPr>
      </w:pPr>
      <w:r>
        <w:rPr>
          <w:rFonts w:ascii="Times New Roman" w:hAnsi="Times New Roman"/>
          <w:sz w:val="28"/>
          <w:szCs w:val="28"/>
        </w:rPr>
        <w:t>оптимізації виробничих, комунальних територій, забезпечення їх санітарно-гігієнічної сумісності з житловою та громадською забудовою;</w:t>
      </w:r>
    </w:p>
    <w:p w:rsidR="002F0749" w:rsidRDefault="002F0749" w:rsidP="002F0749">
      <w:pPr>
        <w:pStyle w:val="4"/>
        <w:numPr>
          <w:ilvl w:val="0"/>
          <w:numId w:val="1"/>
        </w:numPr>
        <w:spacing w:after="120" w:line="240" w:lineRule="auto"/>
        <w:ind w:right="-1"/>
        <w:contextualSpacing/>
        <w:jc w:val="both"/>
        <w:rPr>
          <w:rFonts w:ascii="Times New Roman" w:hAnsi="Times New Roman"/>
          <w:sz w:val="28"/>
          <w:szCs w:val="28"/>
        </w:rPr>
      </w:pPr>
      <w:r>
        <w:rPr>
          <w:rFonts w:ascii="Times New Roman" w:hAnsi="Times New Roman"/>
          <w:color w:val="000000"/>
          <w:sz w:val="28"/>
          <w:szCs w:val="28"/>
          <w:shd w:val="clear" w:color="auto" w:fill="FFFFFF"/>
        </w:rPr>
        <w:lastRenderedPageBreak/>
        <w:t>визначення напрямків ефективної системи поводження з відходами на території населеного пункту;</w:t>
      </w:r>
    </w:p>
    <w:p w:rsidR="002F0749" w:rsidRDefault="002F0749" w:rsidP="002F0749">
      <w:pPr>
        <w:pStyle w:val="4"/>
        <w:numPr>
          <w:ilvl w:val="0"/>
          <w:numId w:val="1"/>
        </w:numPr>
        <w:spacing w:after="120" w:line="240" w:lineRule="auto"/>
        <w:ind w:right="-1"/>
        <w:contextualSpacing/>
        <w:jc w:val="both"/>
        <w:rPr>
          <w:rFonts w:ascii="Times New Roman" w:hAnsi="Times New Roman"/>
          <w:sz w:val="28"/>
          <w:szCs w:val="28"/>
        </w:rPr>
      </w:pPr>
      <w:r>
        <w:rPr>
          <w:rFonts w:ascii="Times New Roman" w:hAnsi="Times New Roman"/>
          <w:color w:val="000000"/>
          <w:sz w:val="28"/>
          <w:szCs w:val="28"/>
          <w:shd w:val="clear" w:color="auto" w:fill="FFFFFF"/>
        </w:rPr>
        <w:t>проведення реконструкції споруд та мереж комунальних систем тепло-, електропостачання, водопостачання.</w:t>
      </w:r>
    </w:p>
    <w:p w:rsidR="002F0749" w:rsidRDefault="002F0749" w:rsidP="002F0749">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8. Зміст звіту про стратегічну екологічну оцінку</w:t>
      </w:r>
    </w:p>
    <w:p w:rsidR="002F0749" w:rsidRDefault="002F0749" w:rsidP="002F0749">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Структура звіту про стратегічну екологічну оцінку визначається статтею 11 Закону України «Про стратегічну екологічну оцінку» і складається з наступних розділів:</w:t>
      </w:r>
    </w:p>
    <w:p w:rsidR="002F0749" w:rsidRDefault="002F0749" w:rsidP="002F0749">
      <w:pPr>
        <w:pStyle w:val="rvps2"/>
        <w:shd w:val="clear" w:color="auto" w:fill="FFFFFF"/>
        <w:spacing w:before="0" w:beforeAutospacing="0" w:after="120" w:afterAutospacing="0"/>
        <w:ind w:firstLine="567"/>
        <w:contextualSpacing/>
        <w:jc w:val="both"/>
        <w:rPr>
          <w:color w:val="000000"/>
          <w:sz w:val="28"/>
          <w:szCs w:val="28"/>
        </w:rPr>
      </w:pPr>
      <w:r>
        <w:rPr>
          <w:color w:val="000000"/>
          <w:sz w:val="28"/>
          <w:szCs w:val="28"/>
        </w:rPr>
        <w:t>- основні цілі генерального плану, його зв’язок з іншими документами державного планування;</w:t>
      </w:r>
    </w:p>
    <w:p w:rsidR="002F0749" w:rsidRDefault="002F0749" w:rsidP="002F0749">
      <w:pPr>
        <w:pStyle w:val="rvps2"/>
        <w:shd w:val="clear" w:color="auto" w:fill="FFFFFF"/>
        <w:spacing w:before="0" w:beforeAutospacing="0" w:after="120" w:afterAutospacing="0"/>
        <w:ind w:firstLine="567"/>
        <w:contextualSpacing/>
        <w:jc w:val="both"/>
        <w:rPr>
          <w:color w:val="000000"/>
          <w:sz w:val="28"/>
          <w:szCs w:val="28"/>
        </w:rPr>
      </w:pPr>
      <w:bookmarkStart w:id="1" w:name="n105"/>
      <w:bookmarkEnd w:id="1"/>
      <w:r>
        <w:rPr>
          <w:color w:val="000000"/>
          <w:sz w:val="28"/>
          <w:szCs w:val="28"/>
        </w:rPr>
        <w:t>-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2F0749" w:rsidRDefault="002F0749" w:rsidP="002F0749">
      <w:pPr>
        <w:pStyle w:val="rvps2"/>
        <w:shd w:val="clear" w:color="auto" w:fill="FFFFFF"/>
        <w:spacing w:before="0" w:beforeAutospacing="0" w:after="120" w:afterAutospacing="0"/>
        <w:ind w:firstLine="567"/>
        <w:contextualSpacing/>
        <w:jc w:val="both"/>
        <w:rPr>
          <w:color w:val="000000"/>
          <w:sz w:val="28"/>
          <w:szCs w:val="28"/>
        </w:rPr>
      </w:pPr>
      <w:bookmarkStart w:id="2" w:name="n106"/>
      <w:bookmarkEnd w:id="2"/>
      <w:r>
        <w:rPr>
          <w:color w:val="000000"/>
          <w:sz w:val="28"/>
          <w:szCs w:val="28"/>
        </w:rPr>
        <w:t>-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2F0749" w:rsidRDefault="002F0749" w:rsidP="002F0749">
      <w:pPr>
        <w:pStyle w:val="rvps2"/>
        <w:shd w:val="clear" w:color="auto" w:fill="FFFFFF"/>
        <w:spacing w:before="0" w:beforeAutospacing="0" w:after="120" w:afterAutospacing="0"/>
        <w:ind w:firstLine="567"/>
        <w:contextualSpacing/>
        <w:jc w:val="both"/>
        <w:rPr>
          <w:color w:val="000000"/>
          <w:sz w:val="28"/>
          <w:szCs w:val="28"/>
        </w:rPr>
      </w:pPr>
      <w:bookmarkStart w:id="3" w:name="n107"/>
      <w:bookmarkEnd w:id="3"/>
      <w:r>
        <w:rPr>
          <w:color w:val="000000"/>
          <w:sz w:val="28"/>
          <w:szCs w:val="28"/>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rsidR="002F0749" w:rsidRDefault="002F0749" w:rsidP="002F0749">
      <w:pPr>
        <w:pStyle w:val="rvps2"/>
        <w:shd w:val="clear" w:color="auto" w:fill="FFFFFF"/>
        <w:spacing w:before="0" w:beforeAutospacing="0" w:after="120" w:afterAutospacing="0"/>
        <w:ind w:firstLine="567"/>
        <w:contextualSpacing/>
        <w:jc w:val="both"/>
        <w:rPr>
          <w:color w:val="000000"/>
          <w:sz w:val="28"/>
          <w:szCs w:val="28"/>
        </w:rPr>
      </w:pPr>
      <w:bookmarkStart w:id="4" w:name="n108"/>
      <w:bookmarkEnd w:id="4"/>
      <w:r>
        <w:rPr>
          <w:color w:val="000000"/>
          <w:sz w:val="28"/>
          <w:szCs w:val="28"/>
        </w:rPr>
        <w:t>- зобов’язання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2F0749" w:rsidRDefault="002F0749" w:rsidP="002F0749">
      <w:pPr>
        <w:pStyle w:val="rvps2"/>
        <w:shd w:val="clear" w:color="auto" w:fill="FFFFFF"/>
        <w:spacing w:before="0" w:beforeAutospacing="0" w:after="120" w:afterAutospacing="0"/>
        <w:ind w:firstLine="567"/>
        <w:contextualSpacing/>
        <w:jc w:val="both"/>
        <w:rPr>
          <w:color w:val="000000"/>
          <w:sz w:val="28"/>
          <w:szCs w:val="28"/>
        </w:rPr>
      </w:pPr>
      <w:r>
        <w:rPr>
          <w:color w:val="000000"/>
          <w:sz w:val="28"/>
          <w:szCs w:val="28"/>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rsidR="002F0749" w:rsidRDefault="002F0749" w:rsidP="002F0749">
      <w:pPr>
        <w:pStyle w:val="rvps2"/>
        <w:shd w:val="clear" w:color="auto" w:fill="FFFFFF"/>
        <w:spacing w:before="0" w:beforeAutospacing="0" w:after="120" w:afterAutospacing="0"/>
        <w:ind w:firstLine="567"/>
        <w:contextualSpacing/>
        <w:jc w:val="both"/>
        <w:rPr>
          <w:color w:val="000000"/>
          <w:sz w:val="28"/>
          <w:szCs w:val="28"/>
        </w:rPr>
      </w:pPr>
      <w:bookmarkStart w:id="5" w:name="n109"/>
      <w:bookmarkStart w:id="6" w:name="n110"/>
      <w:bookmarkEnd w:id="5"/>
      <w:bookmarkEnd w:id="6"/>
      <w:r>
        <w:rPr>
          <w:color w:val="000000"/>
          <w:sz w:val="28"/>
          <w:szCs w:val="28"/>
        </w:rPr>
        <w:t>- заходи, що передбачається вжити для запобігання, зменшення та пом’якшення негативних наслідків виконання генерального плану міста;</w:t>
      </w:r>
    </w:p>
    <w:p w:rsidR="002F0749" w:rsidRDefault="002F0749" w:rsidP="002F0749">
      <w:pPr>
        <w:pStyle w:val="rvps2"/>
        <w:shd w:val="clear" w:color="auto" w:fill="FFFFFF"/>
        <w:spacing w:before="0" w:beforeAutospacing="0" w:after="120" w:afterAutospacing="0"/>
        <w:ind w:firstLine="567"/>
        <w:contextualSpacing/>
        <w:jc w:val="both"/>
        <w:rPr>
          <w:color w:val="000000"/>
          <w:sz w:val="28"/>
          <w:szCs w:val="28"/>
        </w:rPr>
      </w:pPr>
      <w:bookmarkStart w:id="7" w:name="n111"/>
      <w:bookmarkEnd w:id="7"/>
      <w:r>
        <w:rPr>
          <w:color w:val="000000"/>
          <w:sz w:val="28"/>
          <w:szCs w:val="28"/>
        </w:rPr>
        <w:t>-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2F0749" w:rsidRDefault="002F0749" w:rsidP="002F0749">
      <w:pPr>
        <w:pStyle w:val="rvps2"/>
        <w:shd w:val="clear" w:color="auto" w:fill="FFFFFF"/>
        <w:spacing w:before="0" w:beforeAutospacing="0" w:after="120" w:afterAutospacing="0"/>
        <w:ind w:firstLine="567"/>
        <w:contextualSpacing/>
        <w:jc w:val="both"/>
        <w:rPr>
          <w:color w:val="000000"/>
          <w:sz w:val="28"/>
          <w:szCs w:val="28"/>
        </w:rPr>
      </w:pPr>
      <w:bookmarkStart w:id="8" w:name="n112"/>
      <w:bookmarkEnd w:id="8"/>
      <w:r>
        <w:rPr>
          <w:color w:val="000000"/>
          <w:sz w:val="28"/>
          <w:szCs w:val="28"/>
        </w:rPr>
        <w:t>- заходи, передбачені для здійснення моніторингу наслідків виконання генерального плану міста для довкілля, у тому числі для здоров’я населення.</w:t>
      </w:r>
    </w:p>
    <w:p w:rsidR="002F0749" w:rsidRDefault="002F0749" w:rsidP="002F0749">
      <w:pPr>
        <w:pStyle w:val="rvps2"/>
        <w:shd w:val="clear" w:color="auto" w:fill="FFFFFF"/>
        <w:spacing w:before="0" w:beforeAutospacing="0" w:after="120" w:afterAutospacing="0"/>
        <w:ind w:firstLine="567"/>
        <w:contextualSpacing/>
        <w:jc w:val="both"/>
        <w:rPr>
          <w:color w:val="000000"/>
          <w:sz w:val="28"/>
          <w:szCs w:val="28"/>
        </w:rPr>
      </w:pPr>
      <w:r>
        <w:rPr>
          <w:color w:val="000000"/>
          <w:sz w:val="28"/>
          <w:szCs w:val="28"/>
        </w:rPr>
        <w:t>- резюме нетехнічного характеру інформації, передбаченої пунктами 1-10 цієї частини, розраховане на широку аудиторію</w:t>
      </w:r>
    </w:p>
    <w:p w:rsidR="002F0749" w:rsidRDefault="002F0749" w:rsidP="002F0749">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Орган до якого подаються зауваження та пропозиції</w:t>
      </w:r>
    </w:p>
    <w:p w:rsidR="002F0749" w:rsidRDefault="002F0749" w:rsidP="002F0749">
      <w:pPr>
        <w:pStyle w:val="a5"/>
        <w:spacing w:after="120" w:line="240" w:lineRule="auto"/>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Тростянецька сільська рада Тростянецької об’єднаної територіальної громади Миколаївського району Львівської області (</w:t>
      </w:r>
      <w:r>
        <w:rPr>
          <w:rFonts w:ascii="Times New Roman" w:hAnsi="Times New Roman"/>
          <w:sz w:val="28"/>
          <w:szCs w:val="28"/>
          <w:lang w:val="uk-UA"/>
        </w:rPr>
        <w:t>81614, Львівська обл., Миколаївський р-н, с. Тростянець, вул. Зелена, 2</w:t>
      </w:r>
      <w:r>
        <w:rPr>
          <w:rFonts w:ascii="Times New Roman" w:hAnsi="Times New Roman"/>
          <w:color w:val="000000"/>
          <w:sz w:val="28"/>
          <w:szCs w:val="28"/>
          <w:shd w:val="clear" w:color="auto" w:fill="FFFFFF"/>
          <w:lang w:val="uk-UA"/>
        </w:rPr>
        <w:t>).</w:t>
      </w:r>
    </w:p>
    <w:p w:rsidR="002F0749" w:rsidRDefault="002F0749" w:rsidP="002F0749">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Строки подання </w:t>
      </w:r>
    </w:p>
    <w:p w:rsidR="002F0749" w:rsidRDefault="002F0749" w:rsidP="002F0749">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lastRenderedPageBreak/>
        <w:t>15 днів з дня публікації заяви про визначення обсягу стратегічної екологічної оцінки</w:t>
      </w:r>
      <w:r>
        <w:rPr>
          <w:rFonts w:ascii="Times New Roman" w:hAnsi="Times New Roman"/>
          <w:color w:val="000000"/>
          <w:sz w:val="28"/>
          <w:szCs w:val="28"/>
          <w:shd w:val="clear" w:color="auto" w:fill="FFFFFF"/>
          <w:lang w:val="en-US"/>
        </w:rPr>
        <w:t xml:space="preserve"> </w:t>
      </w:r>
      <w:r>
        <w:rPr>
          <w:rFonts w:ascii="Times New Roman" w:hAnsi="Times New Roman"/>
          <w:color w:val="000000"/>
          <w:sz w:val="28"/>
          <w:szCs w:val="28"/>
          <w:shd w:val="clear" w:color="auto" w:fill="FFFFFF"/>
          <w:lang w:val="uk-UA"/>
        </w:rPr>
        <w:t xml:space="preserve">(відповідно до </w:t>
      </w:r>
      <w:proofErr w:type="spellStart"/>
      <w:r>
        <w:rPr>
          <w:rFonts w:ascii="Times New Roman" w:hAnsi="Times New Roman"/>
          <w:color w:val="000000"/>
          <w:sz w:val="28"/>
          <w:szCs w:val="28"/>
          <w:shd w:val="clear" w:color="auto" w:fill="FFFFFF"/>
          <w:lang w:val="uk-UA"/>
        </w:rPr>
        <w:t>п.п</w:t>
      </w:r>
      <w:proofErr w:type="spellEnd"/>
      <w:r>
        <w:rPr>
          <w:rFonts w:ascii="Times New Roman" w:hAnsi="Times New Roman"/>
          <w:color w:val="000000"/>
          <w:sz w:val="28"/>
          <w:szCs w:val="28"/>
          <w:shd w:val="clear" w:color="auto" w:fill="FFFFFF"/>
          <w:lang w:val="uk-UA"/>
        </w:rPr>
        <w:t xml:space="preserve">. 5,6 ст. 10 Закону України «Про стратегічну екологічну оцінку»).  </w:t>
      </w:r>
    </w:p>
    <w:p w:rsidR="002F0749" w:rsidRDefault="002F0749" w:rsidP="002F0749">
      <w:pPr>
        <w:spacing w:after="120" w:line="240" w:lineRule="auto"/>
        <w:ind w:firstLine="567"/>
        <w:contextualSpacing/>
        <w:jc w:val="both"/>
        <w:rPr>
          <w:rFonts w:ascii="Times New Roman" w:hAnsi="Times New Roman"/>
          <w:color w:val="000000"/>
          <w:sz w:val="28"/>
          <w:szCs w:val="28"/>
          <w:shd w:val="clear" w:color="auto" w:fill="FFFFFF"/>
          <w:lang w:val="uk-UA"/>
        </w:rPr>
      </w:pPr>
    </w:p>
    <w:p w:rsidR="004F5526" w:rsidRPr="002F0749" w:rsidRDefault="002F0749">
      <w:pPr>
        <w:rPr>
          <w:rFonts w:ascii="Times New Roman" w:hAnsi="Times New Roman"/>
          <w:sz w:val="28"/>
          <w:szCs w:val="28"/>
          <w:lang w:val="uk-UA"/>
        </w:rPr>
      </w:pPr>
      <w:r w:rsidRPr="002F0749">
        <w:rPr>
          <w:rFonts w:ascii="Times New Roman" w:hAnsi="Times New Roman"/>
          <w:sz w:val="28"/>
          <w:szCs w:val="28"/>
          <w:lang w:val="uk-UA"/>
        </w:rPr>
        <w:t xml:space="preserve">Сільський голова                                                </w:t>
      </w:r>
      <w:r>
        <w:rPr>
          <w:rFonts w:ascii="Times New Roman" w:hAnsi="Times New Roman"/>
          <w:sz w:val="28"/>
          <w:szCs w:val="28"/>
          <w:lang w:val="uk-UA"/>
        </w:rPr>
        <w:t xml:space="preserve">                </w:t>
      </w:r>
      <w:r w:rsidRPr="002F0749">
        <w:rPr>
          <w:rFonts w:ascii="Times New Roman" w:hAnsi="Times New Roman"/>
          <w:sz w:val="28"/>
          <w:szCs w:val="28"/>
          <w:lang w:val="uk-UA"/>
        </w:rPr>
        <w:t xml:space="preserve">Олександра </w:t>
      </w:r>
      <w:proofErr w:type="spellStart"/>
      <w:r w:rsidRPr="002F0749">
        <w:rPr>
          <w:rFonts w:ascii="Times New Roman" w:hAnsi="Times New Roman"/>
          <w:sz w:val="28"/>
          <w:szCs w:val="28"/>
          <w:lang w:val="uk-UA"/>
        </w:rPr>
        <w:t>Леницька</w:t>
      </w:r>
      <w:proofErr w:type="spellEnd"/>
    </w:p>
    <w:sectPr w:rsidR="004F5526" w:rsidRPr="002F07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A2C3D"/>
    <w:multiLevelType w:val="hybridMultilevel"/>
    <w:tmpl w:val="97F892A6"/>
    <w:lvl w:ilvl="0" w:tplc="80D8653C">
      <w:start w:val="4"/>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49"/>
    <w:rsid w:val="002F0749"/>
    <w:rsid w:val="004F55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C9E9"/>
  <w15:chartTrackingRefBased/>
  <w15:docId w15:val="{86A16792-6124-4DC2-92DE-105DD98F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74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7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link w:val="a5"/>
    <w:uiPriority w:val="34"/>
    <w:qFormat/>
    <w:locked/>
    <w:rsid w:val="002F0749"/>
    <w:rPr>
      <w:lang w:val="en-US" w:eastAsia="x-none"/>
    </w:rPr>
  </w:style>
  <w:style w:type="paragraph" w:styleId="a5">
    <w:name w:val="List Paragraph"/>
    <w:basedOn w:val="a"/>
    <w:link w:val="a4"/>
    <w:uiPriority w:val="34"/>
    <w:qFormat/>
    <w:rsid w:val="002F0749"/>
    <w:pPr>
      <w:spacing w:after="160" w:line="256" w:lineRule="auto"/>
      <w:ind w:left="720"/>
      <w:contextualSpacing/>
    </w:pPr>
    <w:rPr>
      <w:rFonts w:asciiTheme="minorHAnsi" w:eastAsiaTheme="minorHAnsi" w:hAnsiTheme="minorHAnsi" w:cstheme="minorBidi"/>
      <w:lang w:val="en-US" w:eastAsia="x-none"/>
    </w:rPr>
  </w:style>
  <w:style w:type="paragraph" w:customStyle="1" w:styleId="rvps2">
    <w:name w:val="rvps2"/>
    <w:basedOn w:val="a"/>
    <w:uiPriority w:val="99"/>
    <w:rsid w:val="002F074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
    <w:name w:val="tabl"/>
    <w:uiPriority w:val="99"/>
    <w:qFormat/>
    <w:rsid w:val="002F0749"/>
    <w:pPr>
      <w:widowControl w:val="0"/>
      <w:spacing w:line="360" w:lineRule="auto"/>
      <w:ind w:left="120"/>
    </w:pPr>
    <w:rPr>
      <w:rFonts w:ascii="Times New Roman" w:eastAsia="SimSun" w:hAnsi="Times New Roman" w:cs="Times New Roman"/>
      <w:b/>
      <w:sz w:val="28"/>
      <w:szCs w:val="28"/>
      <w:lang w:eastAsia="uk-UA"/>
    </w:rPr>
  </w:style>
  <w:style w:type="character" w:customStyle="1" w:styleId="a6">
    <w:name w:val="Основной текст_"/>
    <w:link w:val="4"/>
    <w:locked/>
    <w:rsid w:val="002F0749"/>
    <w:rPr>
      <w:spacing w:val="1"/>
      <w:sz w:val="23"/>
      <w:szCs w:val="23"/>
      <w:shd w:val="clear" w:color="auto" w:fill="FFFFFF"/>
    </w:rPr>
  </w:style>
  <w:style w:type="paragraph" w:customStyle="1" w:styleId="4">
    <w:name w:val="Основной текст4"/>
    <w:basedOn w:val="a"/>
    <w:link w:val="a6"/>
    <w:rsid w:val="002F0749"/>
    <w:pPr>
      <w:widowControl w:val="0"/>
      <w:shd w:val="clear" w:color="auto" w:fill="FFFFFF"/>
      <w:spacing w:after="0" w:line="206" w:lineRule="exact"/>
      <w:ind w:hanging="660"/>
      <w:jc w:val="center"/>
    </w:pPr>
    <w:rPr>
      <w:rFonts w:asciiTheme="minorHAnsi" w:eastAsiaTheme="minorHAnsi" w:hAnsiTheme="minorHAnsi" w:cstheme="minorBidi"/>
      <w:spacing w:val="1"/>
      <w:sz w:val="23"/>
      <w:szCs w:val="23"/>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10639</Words>
  <Characters>6065</Characters>
  <Application>Microsoft Office Word</Application>
  <DocSecurity>0</DocSecurity>
  <Lines>50</Lines>
  <Paragraphs>33</Paragraphs>
  <ScaleCrop>false</ScaleCrop>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2019-11-15T11:38:00Z</dcterms:created>
  <dcterms:modified xsi:type="dcterms:W3CDTF">2019-11-15T11:40:00Z</dcterms:modified>
</cp:coreProperties>
</file>