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E3" w:rsidRPr="007A76E3" w:rsidRDefault="007A76E3" w:rsidP="0053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E3"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  <w:drawing>
          <wp:inline distT="0" distB="0" distL="0" distR="0" wp14:anchorId="16F5E336" wp14:editId="721A3D25">
            <wp:extent cx="3048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E3" w:rsidRPr="007A76E3" w:rsidRDefault="007A76E3" w:rsidP="007A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6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</w:pPr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  <w:t>ТРОСТЯНЕЦЬКА СІЛЬСЬКА РАДА</w:t>
      </w:r>
    </w:p>
    <w:p w:rsidR="007A76E3" w:rsidRPr="007A76E3" w:rsidRDefault="007A76E3" w:rsidP="007A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</w:pPr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СТРИЙСЬКОГО</w:t>
      </w:r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  <w:t xml:space="preserve"> РАЙОНУ ЛЬВІВСЬКОЇ ОБЛАСТІ</w:t>
      </w:r>
    </w:p>
    <w:p w:rsidR="007A76E3" w:rsidRPr="007A76E3" w:rsidRDefault="007A76E3" w:rsidP="007A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</w:pPr>
      <w:r w:rsidRPr="007A76E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ІХ </w:t>
      </w:r>
      <w:proofErr w:type="spellStart"/>
      <w:r w:rsidRPr="007A76E3">
        <w:rPr>
          <w:rFonts w:ascii="Times New Roman" w:eastAsia="Times New Roman" w:hAnsi="Times New Roman" w:cs="Tahoma"/>
          <w:sz w:val="24"/>
          <w:szCs w:val="24"/>
          <w:lang w:val="ru-RU" w:eastAsia="ru-RU"/>
        </w:rPr>
        <w:t>с</w:t>
      </w: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>есія</w:t>
      </w:r>
      <w:proofErr w:type="spellEnd"/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</w:t>
      </w: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en-US" w:eastAsia="ru-RU"/>
        </w:rPr>
        <w:t>V</w:t>
      </w: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>І</w:t>
      </w: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І</w:t>
      </w: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І  </w:t>
      </w:r>
      <w:proofErr w:type="spellStart"/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>скликання</w:t>
      </w:r>
      <w:proofErr w:type="spellEnd"/>
    </w:p>
    <w:p w:rsidR="007A76E3" w:rsidRPr="007A76E3" w:rsidRDefault="007A76E3" w:rsidP="007A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</w:pPr>
    </w:p>
    <w:p w:rsidR="007A76E3" w:rsidRPr="007A76E3" w:rsidRDefault="007A76E3" w:rsidP="007A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shd w:val="clear" w:color="auto" w:fill="FFFF00"/>
          <w:lang w:val="ru-RU" w:eastAsia="ru-RU"/>
        </w:rPr>
      </w:pPr>
      <w:proofErr w:type="gramStart"/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  <w:t>Р</w:t>
      </w:r>
      <w:proofErr w:type="gramEnd"/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val="ru-RU" w:eastAsia="ru-RU"/>
        </w:rPr>
        <w:t xml:space="preserve">ІШЕННЯ </w:t>
      </w:r>
    </w:p>
    <w:p w:rsidR="007A76E3" w:rsidRPr="007A76E3" w:rsidRDefault="00D24825" w:rsidP="00D24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701" w:hanging="170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12 березня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20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21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року      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               </w:t>
      </w:r>
      <w:proofErr w:type="spellStart"/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>с.Тростянець</w:t>
      </w:r>
      <w:proofErr w:type="spellEnd"/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</w:t>
      </w:r>
      <w:r w:rsidR="00613A58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                            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   №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7E7A5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623</w:t>
      </w:r>
      <w:bookmarkStart w:id="0" w:name="_GoBack"/>
      <w:bookmarkEnd w:id="0"/>
    </w:p>
    <w:p w:rsidR="007A76E3" w:rsidRPr="007A76E3" w:rsidRDefault="007A76E3" w:rsidP="007A76E3">
      <w:pPr>
        <w:widowControl w:val="0"/>
        <w:shd w:val="clear" w:color="auto" w:fill="FFFFFF"/>
        <w:suppressAutoHyphens/>
        <w:spacing w:after="0" w:line="240" w:lineRule="auto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EB58F6" w:rsidRDefault="00EB58F6" w:rsidP="007A76E3">
      <w:p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5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B5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Положення про облікову політику </w:t>
      </w:r>
    </w:p>
    <w:p w:rsidR="00EB58F6" w:rsidRDefault="00EB58F6" w:rsidP="007A76E3">
      <w:p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5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фінансового відділу Тростянецької сільської ради </w:t>
      </w:r>
    </w:p>
    <w:p w:rsidR="007A76E3" w:rsidRPr="007A76E3" w:rsidRDefault="00EB58F6" w:rsidP="007A76E3">
      <w:p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EB5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Стрийського</w:t>
      </w:r>
      <w:proofErr w:type="spellEnd"/>
      <w:r w:rsidRPr="00EB5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району Львівської області</w:t>
      </w:r>
      <w:r w:rsidR="007A76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7A76E3" w:rsidRPr="007A76E3" w:rsidRDefault="007A76E3" w:rsidP="007A76E3">
      <w:pPr>
        <w:widowControl w:val="0"/>
        <w:shd w:val="clear" w:color="auto" w:fill="FFFFFF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76E3" w:rsidRPr="00EB58F6" w:rsidRDefault="00EB58F6" w:rsidP="00EB58F6">
      <w:pPr>
        <w:widowControl w:val="0"/>
        <w:spacing w:after="0" w:line="274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B58F6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З метою оцінки, обліку і процедури, які застосовуються суб’єктом державного сектору для ведення бухгалтерського обліку, складання і подання фінансової та бюджетної звітності, відповідно до Бюджетного кодексу України, Закону України «Про бухгалтерський облік та фінансову звітність в Україні», постанови Кабінету Міністрів України від</w:t>
      </w:r>
      <w:r w:rsidR="00EB7681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EB58F6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08.11.2007 року № 1314 «Про затвердження Порядку списання об’єктів державної власності», наказу Державного казначейства України № 447 від 29.11.2009 року «Про затвердження Типової інструкції про порядок списання майна бюджетних установ», статті 26 Закону України “Про місцеве самовряд</w:t>
      </w:r>
      <w:r w:rsidR="00EB7681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ування в Україні”</w:t>
      </w:r>
      <w:r w:rsidR="00A4294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,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сільська рада</w:t>
      </w:r>
    </w:p>
    <w:p w:rsidR="007A76E3" w:rsidRPr="007A76E3" w:rsidRDefault="007A76E3" w:rsidP="007A76E3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7A76E3" w:rsidRDefault="007A76E3" w:rsidP="007A76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A76E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ВИРІШИЛА:</w:t>
      </w:r>
    </w:p>
    <w:p w:rsidR="007A76E3" w:rsidRPr="007A76E3" w:rsidRDefault="007A76E3" w:rsidP="007A76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910FED" w:rsidRDefault="00910FED" w:rsidP="00A43B19">
      <w:pPr>
        <w:pStyle w:val="22"/>
        <w:tabs>
          <w:tab w:val="left" w:pos="775"/>
        </w:tabs>
        <w:spacing w:after="0"/>
        <w:rPr>
          <w:color w:val="000000"/>
          <w:sz w:val="24"/>
          <w:szCs w:val="24"/>
          <w:lang w:bidi="uk-UA"/>
        </w:rPr>
      </w:pPr>
      <w:r>
        <w:rPr>
          <w:rFonts w:cs="Tahoma"/>
          <w:color w:val="000000"/>
          <w:sz w:val="24"/>
          <w:szCs w:val="24"/>
          <w:lang w:eastAsia="ru-RU"/>
        </w:rPr>
        <w:t xml:space="preserve">            </w:t>
      </w:r>
      <w:r w:rsidR="007A76E3" w:rsidRPr="007A76E3">
        <w:rPr>
          <w:rFonts w:cs="Tahoma"/>
          <w:color w:val="000000"/>
          <w:sz w:val="24"/>
          <w:szCs w:val="24"/>
          <w:lang w:eastAsia="ru-RU"/>
        </w:rPr>
        <w:t xml:space="preserve">1. </w:t>
      </w:r>
      <w:r w:rsidRPr="00910FED">
        <w:rPr>
          <w:color w:val="000000"/>
          <w:sz w:val="24"/>
          <w:szCs w:val="24"/>
          <w:lang w:bidi="uk-UA"/>
        </w:rPr>
        <w:t xml:space="preserve">Затвердити </w:t>
      </w:r>
      <w:r w:rsidR="00D24825" w:rsidRPr="00D24825">
        <w:rPr>
          <w:color w:val="000000"/>
          <w:sz w:val="24"/>
          <w:szCs w:val="24"/>
          <w:lang w:bidi="uk-UA"/>
        </w:rPr>
        <w:t>П</w:t>
      </w:r>
      <w:r w:rsidR="00D24825">
        <w:rPr>
          <w:color w:val="000000"/>
          <w:sz w:val="24"/>
          <w:szCs w:val="24"/>
          <w:lang w:bidi="uk-UA"/>
        </w:rPr>
        <w:t xml:space="preserve">оложення про облікову політику </w:t>
      </w:r>
      <w:r w:rsidR="00D24825" w:rsidRPr="00D24825">
        <w:rPr>
          <w:color w:val="000000"/>
          <w:sz w:val="24"/>
          <w:szCs w:val="24"/>
          <w:lang w:bidi="uk-UA"/>
        </w:rPr>
        <w:t>фінансового відділ</w:t>
      </w:r>
      <w:r w:rsidR="00A43B19">
        <w:rPr>
          <w:color w:val="000000"/>
          <w:sz w:val="24"/>
          <w:szCs w:val="24"/>
          <w:lang w:bidi="uk-UA"/>
        </w:rPr>
        <w:t xml:space="preserve">у Тростянецької сільської ради </w:t>
      </w:r>
      <w:proofErr w:type="spellStart"/>
      <w:r w:rsidR="00D24825" w:rsidRPr="00D24825">
        <w:rPr>
          <w:color w:val="000000"/>
          <w:sz w:val="24"/>
          <w:szCs w:val="24"/>
          <w:lang w:bidi="uk-UA"/>
        </w:rPr>
        <w:t>Стрийського</w:t>
      </w:r>
      <w:proofErr w:type="spellEnd"/>
      <w:r w:rsidR="00D24825" w:rsidRPr="00D24825">
        <w:rPr>
          <w:color w:val="000000"/>
          <w:sz w:val="24"/>
          <w:szCs w:val="24"/>
          <w:lang w:bidi="uk-UA"/>
        </w:rPr>
        <w:t xml:space="preserve"> району Львівської області</w:t>
      </w:r>
      <w:r>
        <w:rPr>
          <w:color w:val="000000"/>
          <w:sz w:val="24"/>
          <w:szCs w:val="24"/>
          <w:lang w:bidi="uk-UA"/>
        </w:rPr>
        <w:t xml:space="preserve"> згідно з додатком 1</w:t>
      </w:r>
      <w:r w:rsidR="00A42944">
        <w:rPr>
          <w:rFonts w:cs="Tahoma"/>
          <w:color w:val="000000"/>
          <w:sz w:val="24"/>
          <w:szCs w:val="24"/>
          <w:lang w:eastAsia="ru-RU"/>
        </w:rPr>
        <w:t>;</w:t>
      </w:r>
    </w:p>
    <w:p w:rsidR="007A76E3" w:rsidRPr="007A76E3" w:rsidRDefault="00910FED" w:rsidP="00534EB9">
      <w:pPr>
        <w:widowControl w:val="0"/>
        <w:tabs>
          <w:tab w:val="left" w:pos="1159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shd w:val="clear" w:color="auto" w:fill="FFFFFF"/>
          <w:lang w:eastAsia="ru-RU"/>
        </w:rPr>
        <w:t>2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34EB9" w:rsidRPr="00534EB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виконанням даного рішення покласти  на постійну комісію сільської ради з питань бюджету, фінансів та  планування соціально-економічного розвитку</w:t>
      </w:r>
      <w:r w:rsidR="008A3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(Голова - Паламар Я.Р.).</w:t>
      </w: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8A36C0" w:rsidRDefault="008A36C0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8A36C0" w:rsidRPr="007A76E3" w:rsidRDefault="008A36C0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7A76E3" w:rsidRDefault="00534EB9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</w:t>
      </w:r>
      <w:r w:rsidR="007A76E3" w:rsidRPr="007A76E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Сільський голова                                                                          Михайло ЦИХУЛЯК</w:t>
      </w: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A76E3">
        <w:rPr>
          <w:rFonts w:ascii="Times New Roman" w:eastAsia="Times New Roman" w:hAnsi="Times New Roman" w:cs="Tahoma"/>
          <w:color w:val="000000"/>
          <w:sz w:val="24"/>
          <w:szCs w:val="24"/>
          <w:lang w:val="ru-RU" w:eastAsia="ru-RU"/>
        </w:rPr>
        <w:t xml:space="preserve">     </w:t>
      </w:r>
    </w:p>
    <w:p w:rsidR="007A76E3" w:rsidRP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Default="007A76E3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EB9" w:rsidRDefault="00534EB9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EB9" w:rsidRDefault="00534EB9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34EB9" w:rsidRPr="007A76E3" w:rsidRDefault="00534EB9" w:rsidP="007A76E3">
      <w:pPr>
        <w:widowControl w:val="0"/>
        <w:tabs>
          <w:tab w:val="left" w:pos="115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A76E3" w:rsidRDefault="007A76E3" w:rsidP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6E3" w:rsidRDefault="007A76E3" w:rsidP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6C0" w:rsidRDefault="008A36C0" w:rsidP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6C0" w:rsidRDefault="008A36C0" w:rsidP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6E3" w:rsidRDefault="007A76E3" w:rsidP="00613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58" w:rsidRDefault="00613A58" w:rsidP="00613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EB9" w:rsidRDefault="00534EB9" w:rsidP="00534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4EB9">
        <w:rPr>
          <w:rFonts w:ascii="Times New Roman" w:eastAsia="Times New Roman" w:hAnsi="Times New Roman" w:cs="Times New Roman"/>
          <w:sz w:val="20"/>
          <w:szCs w:val="20"/>
        </w:rPr>
        <w:t xml:space="preserve"> Додаток до рішення </w:t>
      </w:r>
    </w:p>
    <w:p w:rsidR="007A76E3" w:rsidRPr="00534EB9" w:rsidRDefault="00534EB9" w:rsidP="00534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4EB9">
        <w:rPr>
          <w:rFonts w:ascii="Times New Roman" w:eastAsia="Times New Roman" w:hAnsi="Times New Roman" w:cs="Times New Roman"/>
          <w:sz w:val="20"/>
          <w:szCs w:val="20"/>
        </w:rPr>
        <w:t>№   від 12.03.2021 р</w:t>
      </w:r>
    </w:p>
    <w:p w:rsidR="007A76E3" w:rsidRDefault="007A76E3" w:rsidP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6C0" w:rsidRDefault="00D01429" w:rsidP="00D01429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>Положення</w:t>
      </w:r>
      <w:r w:rsidR="008A36C0" w:rsidRPr="008A3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 xml:space="preserve"> про облікову політику фінансового відділу  Тростянецької сільської ради</w:t>
      </w:r>
      <w:r w:rsidR="008A36C0" w:rsidRPr="008A3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br/>
      </w:r>
      <w:proofErr w:type="spellStart"/>
      <w:r w:rsidR="008A36C0" w:rsidRPr="008A3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>Стрийського</w:t>
      </w:r>
      <w:proofErr w:type="spellEnd"/>
      <w:r w:rsidR="008A36C0" w:rsidRPr="008A3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 xml:space="preserve"> району Львівської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 xml:space="preserve"> </w:t>
      </w:r>
      <w:r w:rsidR="008A36C0" w:rsidRPr="008A3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  <w:t>області</w:t>
      </w:r>
    </w:p>
    <w:p w:rsidR="00D01429" w:rsidRPr="008A36C0" w:rsidRDefault="00D01429" w:rsidP="00D01429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uk-UA"/>
        </w:rPr>
      </w:pPr>
    </w:p>
    <w:p w:rsidR="008A36C0" w:rsidRPr="008A36C0" w:rsidRDefault="008A36C0" w:rsidP="008A36C0">
      <w:pPr>
        <w:widowControl w:val="0"/>
        <w:numPr>
          <w:ilvl w:val="0"/>
          <w:numId w:val="6"/>
        </w:numPr>
        <w:tabs>
          <w:tab w:val="left" w:pos="826"/>
        </w:tabs>
        <w:spacing w:after="60" w:line="27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Положення про облікову політику ( далі-Положення) визначає методи оцінки, обліку, процедури та основні принципи бухгалтерського обліку і фінансової звітності, визначені Законом України «Про бухгалтерський облік га фінансову звітність в Україні» від 16.07.1999 №996-ХІУ.</w:t>
      </w:r>
    </w:p>
    <w:p w:rsidR="008A36C0" w:rsidRPr="008A36C0" w:rsidRDefault="008A36C0" w:rsidP="008A36C0">
      <w:pPr>
        <w:widowControl w:val="0"/>
        <w:numPr>
          <w:ilvl w:val="0"/>
          <w:numId w:val="6"/>
        </w:numPr>
        <w:tabs>
          <w:tab w:val="left" w:pos="826"/>
        </w:tabs>
        <w:spacing w:after="64" w:line="27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При ведені бухгалтерськ</w:t>
      </w:r>
      <w:r w:rsid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ого обліку та складанні фінансов</w:t>
      </w: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ої звітності бухгалтерська служба відповідно до покладених на неї завдань проводить вимірювання і узагальнює всі господарські операції, веде бухгалтерський облік відповідно до національних положень (стандартів) бухгалтерського обліку в державному секторі, перелік яких наводиться у додатку 1 до Положення, та складає квартальну і річну фінансову звітність в єдиній грошовій одиниці - гривні.</w:t>
      </w:r>
    </w:p>
    <w:p w:rsidR="008A36C0" w:rsidRPr="008A36C0" w:rsidRDefault="008A36C0" w:rsidP="008A36C0">
      <w:pPr>
        <w:widowControl w:val="0"/>
        <w:numPr>
          <w:ilvl w:val="0"/>
          <w:numId w:val="6"/>
        </w:numPr>
        <w:tabs>
          <w:tab w:val="left" w:pos="884"/>
        </w:tabs>
        <w:spacing w:after="53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Обрана та затверджена Положенням облікова політика застосовується постійно (із року в рік) . Зміни до обл</w:t>
      </w:r>
      <w:r w:rsid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ікової політики вносяться лише у</w:t>
      </w: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випадках, передбачених національними положеннями (стандартами) бухгалтерського обліку в державному секторі та обов’язково обґрунтовуються і розкриваються у фінансовій звітності.</w:t>
      </w:r>
    </w:p>
    <w:p w:rsidR="008A36C0" w:rsidRPr="008A36C0" w:rsidRDefault="008A36C0" w:rsidP="008A36C0">
      <w:pPr>
        <w:widowControl w:val="0"/>
        <w:spacing w:after="68" w:line="283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4 Господарські операції обліковуються відповідно до їх сутності, а не лише виходячи з юридичної форми.</w:t>
      </w:r>
    </w:p>
    <w:p w:rsidR="008A36C0" w:rsidRPr="008A36C0" w:rsidRDefault="008A36C0" w:rsidP="008A36C0">
      <w:pPr>
        <w:widowControl w:val="0"/>
        <w:numPr>
          <w:ilvl w:val="0"/>
          <w:numId w:val="7"/>
        </w:numPr>
        <w:tabs>
          <w:tab w:val="left" w:pos="879"/>
        </w:tabs>
        <w:spacing w:after="56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Доходи та витрати в бухгалтерському обліку та фінансовій звітності відображаються в момент їх виникнення, належно від дати надходження або сплати коштів. Для визначення фінансового результату звітного періоду доходи звітного періоду порівнюються з витратами, що були проведені для отримання цих доходів.</w:t>
      </w:r>
    </w:p>
    <w:p w:rsidR="008A36C0" w:rsidRPr="008A36C0" w:rsidRDefault="008A36C0" w:rsidP="008A36C0">
      <w:pPr>
        <w:widowControl w:val="0"/>
        <w:numPr>
          <w:ilvl w:val="0"/>
          <w:numId w:val="7"/>
        </w:numPr>
        <w:tabs>
          <w:tab w:val="left" w:pos="874"/>
        </w:tabs>
        <w:spacing w:after="64" w:line="27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Фінансова звітність містить всю інформацію про фактичні та потенційні наслідки господарських операцій та подій, здатних вплинути на рішення, що приймаються на її основі.</w:t>
      </w:r>
    </w:p>
    <w:p w:rsidR="008A36C0" w:rsidRPr="008A36C0" w:rsidRDefault="008A36C0" w:rsidP="008A36C0">
      <w:pPr>
        <w:widowControl w:val="0"/>
        <w:numPr>
          <w:ilvl w:val="0"/>
          <w:numId w:val="7"/>
        </w:numPr>
        <w:tabs>
          <w:tab w:val="left" w:pos="889"/>
        </w:tabs>
        <w:spacing w:after="6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Щодо історичної (фактичної) собівартості активів пріоритетною вважається їх оцінка, що формується виходячи з витрат на виробництво та придбання. Активи та зобов’язання Тростянецької сільської ради оцінюються виходячи з припущення, що її діяльність буде тривати далі.</w:t>
      </w:r>
    </w:p>
    <w:p w:rsidR="008A36C0" w:rsidRPr="008A36C0" w:rsidRDefault="008A36C0" w:rsidP="008A36C0">
      <w:pPr>
        <w:widowControl w:val="0"/>
        <w:tabs>
          <w:tab w:val="left" w:pos="889"/>
        </w:tabs>
        <w:spacing w:after="60" w:line="274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7.1.Для розмежування основних засобів та малоцінних </w:t>
      </w:r>
      <w:proofErr w:type="spellStart"/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необоротніх</w:t>
      </w:r>
      <w:proofErr w:type="spellEnd"/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матеріальних активів (МНМА) застосовується вартісна ознака 20000,00грн.</w:t>
      </w:r>
    </w:p>
    <w:p w:rsidR="008A36C0" w:rsidRPr="008A36C0" w:rsidRDefault="008A36C0" w:rsidP="008A36C0">
      <w:pPr>
        <w:widowControl w:val="0"/>
        <w:numPr>
          <w:ilvl w:val="0"/>
          <w:numId w:val="7"/>
        </w:numPr>
        <w:tabs>
          <w:tab w:val="left" w:pos="884"/>
        </w:tabs>
        <w:spacing w:after="6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Одиницею бухгалтерського обліку запасів згідно з пунктом 3 розділу II Національного положення (стандарту) бухгалтерського обліку в державному секторі 123 «Запаси», затвердженого наказом Мінфіну від 12.10.2010 №1202 (далі - НП(с)БОДС 123), визначається їх найменування.</w:t>
      </w:r>
    </w:p>
    <w:p w:rsidR="008A36C0" w:rsidRPr="008A36C0" w:rsidRDefault="008A36C0" w:rsidP="008A36C0">
      <w:pPr>
        <w:widowControl w:val="0"/>
        <w:numPr>
          <w:ilvl w:val="1"/>
          <w:numId w:val="7"/>
        </w:numPr>
        <w:tabs>
          <w:tab w:val="left" w:pos="1062"/>
        </w:tabs>
        <w:spacing w:after="6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Запаси відображаються в бухгалтерському обліку і звітності на дату балансу, в т.ч. у разі зміни утримання запасів за первісною вартістю.</w:t>
      </w:r>
    </w:p>
    <w:p w:rsidR="008A36C0" w:rsidRPr="008A36C0" w:rsidRDefault="008A36C0" w:rsidP="008A36C0">
      <w:pPr>
        <w:widowControl w:val="0"/>
        <w:numPr>
          <w:ilvl w:val="1"/>
          <w:numId w:val="7"/>
        </w:numPr>
        <w:tabs>
          <w:tab w:val="left" w:pos="1062"/>
        </w:tabs>
        <w:spacing w:after="6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Для оцінки запасів при їх вибутті (відпуску запасів у виробництво, з виробництва, продажу та іншому вибутті) застосовується метод середньозваженої собівартості згідно з пунктом 4 розділу IV ІІП(с)Б()ДС 123.</w:t>
      </w:r>
    </w:p>
    <w:p w:rsidR="008A36C0" w:rsidRPr="008A36C0" w:rsidRDefault="008A36C0" w:rsidP="008A36C0">
      <w:pPr>
        <w:widowControl w:val="0"/>
        <w:numPr>
          <w:ilvl w:val="1"/>
          <w:numId w:val="7"/>
        </w:numPr>
        <w:tabs>
          <w:tab w:val="left" w:pos="1062"/>
        </w:tabs>
        <w:spacing w:after="64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8A36C0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Транспортно-заготівельні та інші витрати, пов’язані з придбанням, отриманням (крім внутрішньої передачі) запасів, уключаються до первісної вартості при їх визнанні відповідно до вимог пункту 8 розділу II НГТ(с)БОДС 123.</w:t>
      </w:r>
    </w:p>
    <w:p w:rsidR="00D01429" w:rsidRPr="00D01429" w:rsidRDefault="00D01429" w:rsidP="00861FA5">
      <w:pPr>
        <w:framePr w:w="9631" w:h="14836" w:hRule="exact" w:wrap="through" w:vAnchor="page" w:hAnchor="page" w:x="1816" w:y="1186"/>
        <w:widowControl w:val="0"/>
        <w:numPr>
          <w:ilvl w:val="1"/>
          <w:numId w:val="7"/>
        </w:numPr>
        <w:tabs>
          <w:tab w:val="left" w:pos="1193"/>
        </w:tabs>
        <w:spacing w:after="0" w:line="283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lastRenderedPageBreak/>
        <w:t>Втрати від зменшення та вигоди від відновлення корисності об'єктів основних засобів і нематеріальних активів та їх переоцінка визначаються в разі потреби один раз на рік</w:t>
      </w:r>
    </w:p>
    <w:p w:rsidR="00D01429" w:rsidRPr="00D01429" w:rsidRDefault="00D01429" w:rsidP="00861FA5">
      <w:pPr>
        <w:framePr w:w="9631" w:h="14836" w:hRule="exact" w:wrap="through" w:vAnchor="page" w:hAnchor="page" w:x="1816" w:y="1186"/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під час проведення інвентаризації.</w:t>
      </w:r>
    </w:p>
    <w:p w:rsidR="00D01429" w:rsidRPr="00D01429" w:rsidRDefault="00D01429" w:rsidP="00861FA5">
      <w:pPr>
        <w:framePr w:w="9631" w:h="14836" w:hRule="exact" w:wrap="through" w:vAnchor="page" w:hAnchor="page" w:x="1816" w:y="1186"/>
        <w:widowControl w:val="0"/>
        <w:numPr>
          <w:ilvl w:val="1"/>
          <w:numId w:val="7"/>
        </w:numPr>
        <w:tabs>
          <w:tab w:val="left" w:pos="1188"/>
        </w:tabs>
        <w:spacing w:after="0" w:line="278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Амортизація вартості об’єктів основних засобів і нематеріальних активів нараховується, виходячи зі строків корисного використання основних засобів, визначених у додатку 1 до методичних рекомендацій щодо облікової політики суб'єкта державного сектор}. затверджених наказом Мінфіну від 23.01.2015 № 11 (далі - Метод рекомендації № 11). та очікуваної експлуатації нематеріальних активів, визначених у додатку 2 до Метод рекомендацій № 11.</w:t>
      </w:r>
    </w:p>
    <w:p w:rsidR="00D01429" w:rsidRPr="00D01429" w:rsidRDefault="00D01429" w:rsidP="00861FA5">
      <w:pPr>
        <w:framePr w:w="9631" w:h="14836" w:hRule="exact" w:wrap="through" w:vAnchor="page" w:hAnchor="page" w:x="1816" w:y="1186"/>
        <w:widowControl w:val="0"/>
        <w:numPr>
          <w:ilvl w:val="1"/>
          <w:numId w:val="7"/>
        </w:numPr>
        <w:tabs>
          <w:tab w:val="left" w:pos="1327"/>
        </w:tabs>
        <w:spacing w:after="0" w:line="283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Нарахування амортизації у </w:t>
      </w:r>
      <w:r w:rsidR="00AF22C2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фінансовому відділі Тростянецької сільської</w:t>
      </w:r>
      <w:r w:rsidR="00195F6A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ради </w:t>
      </w: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проводиться один раз на рік.</w:t>
      </w:r>
    </w:p>
    <w:p w:rsidR="00D01429" w:rsidRDefault="00D01429" w:rsidP="00861FA5">
      <w:pPr>
        <w:framePr w:w="9631" w:h="14836" w:hRule="exact" w:wrap="through" w:vAnchor="page" w:hAnchor="page" w:x="1816" w:y="1186"/>
        <w:widowControl w:val="0"/>
        <w:numPr>
          <w:ilvl w:val="0"/>
          <w:numId w:val="7"/>
        </w:numPr>
        <w:tabs>
          <w:tab w:val="left" w:pos="1136"/>
        </w:tabs>
        <w:spacing w:after="0" w:line="278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Кількісним критерієм та якісною ознакою суттєвості інформації про господарські операції, події та статті фінансової звітності приймається величина суттєвої помилки, без урахування якої фінансова звітність не може вважатися достовірною.</w:t>
      </w:r>
    </w:p>
    <w:p w:rsidR="00E651A8" w:rsidRPr="00E651A8" w:rsidRDefault="00E651A8" w:rsidP="00861FA5">
      <w:pPr>
        <w:pStyle w:val="a5"/>
        <w:framePr w:w="9631" w:h="14836" w:hRule="exact" w:wrap="through" w:vAnchor="page" w:hAnchor="page" w:x="1816" w:y="1186"/>
        <w:widowControl w:val="0"/>
        <w:numPr>
          <w:ilvl w:val="1"/>
          <w:numId w:val="7"/>
        </w:numPr>
        <w:tabs>
          <w:tab w:val="left" w:pos="113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Втрати від зменшення та вигоди від відновлення корисності об'єктів основних засобів і нематеріальних активів та їх переоцінка визначаються в разі потреби один раз на рік</w:t>
      </w:r>
    </w:p>
    <w:p w:rsidR="00E651A8" w:rsidRDefault="00E651A8" w:rsidP="00861FA5">
      <w:pPr>
        <w:pStyle w:val="a5"/>
        <w:framePr w:w="9631" w:h="14836" w:hRule="exact" w:wrap="through" w:vAnchor="page" w:hAnchor="page" w:x="1816" w:y="1186"/>
        <w:widowControl w:val="0"/>
        <w:tabs>
          <w:tab w:val="left" w:pos="1136"/>
        </w:tabs>
        <w:spacing w:after="0" w:line="278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під час проведення інвентаризації</w:t>
      </w:r>
    </w:p>
    <w:p w:rsidR="00E651A8" w:rsidRPr="00E651A8" w:rsidRDefault="00E651A8" w:rsidP="00861FA5">
      <w:pPr>
        <w:pStyle w:val="a5"/>
        <w:framePr w:w="9631" w:h="14836" w:hRule="exact" w:wrap="through" w:vAnchor="page" w:hAnchor="page" w:x="1816" w:y="1186"/>
        <w:numPr>
          <w:ilvl w:val="1"/>
          <w:numId w:val="7"/>
        </w:numPr>
        <w:tabs>
          <w:tab w:val="left" w:pos="113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Амортизація вартості об’єктів основних засобів і нематеріальних активів нараховується, виходячи зі строків корисного використання основних засобів, визначених у додатку 1 до методичних рекомендацій щодо облікової політики суб'єкта державного сектор}. затверджених наказом Мінфіну від 23.01.2015 № 11 (далі - Метод рекомендації № 11). та очікуваної експлуатації нематеріальних активів, визначених у додатку 2 до Метод рекомендацій № 11.</w:t>
      </w:r>
    </w:p>
    <w:p w:rsidR="00E651A8" w:rsidRPr="00E651A8" w:rsidRDefault="00E651A8" w:rsidP="00861FA5">
      <w:pPr>
        <w:pStyle w:val="a5"/>
        <w:framePr w:w="9631" w:h="14836" w:hRule="exact" w:wrap="through" w:vAnchor="page" w:hAnchor="page" w:x="1816" w:y="1186"/>
        <w:numPr>
          <w:ilvl w:val="1"/>
          <w:numId w:val="7"/>
        </w:numPr>
        <w:tabs>
          <w:tab w:val="left" w:pos="1136"/>
        </w:tabs>
        <w:spacing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Нарахування амортизації у </w:t>
      </w:r>
      <w:r w:rsidR="00195F6A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фінансовому відділі</w:t>
      </w: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Тростянецькій сільській раді проводиться один раз на рік.</w:t>
      </w:r>
    </w:p>
    <w:p w:rsidR="00E651A8" w:rsidRPr="00E651A8" w:rsidRDefault="00E651A8" w:rsidP="00861FA5">
      <w:pPr>
        <w:pStyle w:val="a5"/>
        <w:framePr w:w="9631" w:h="14836" w:hRule="exact" w:wrap="through" w:vAnchor="page" w:hAnchor="page" w:x="1816" w:y="1186"/>
        <w:widowControl w:val="0"/>
        <w:tabs>
          <w:tab w:val="left" w:pos="1136"/>
        </w:tabs>
        <w:spacing w:after="0" w:line="278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E651A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Кількісним критерієм та якісною ознакою суттєвості інформації про господарські операції, події та статті фінансової звітності приймається величина суттєвої помилки, без урахування якої фінансова звітність не може вважатися достовірною</w:t>
      </w:r>
    </w:p>
    <w:p w:rsidR="006448CD" w:rsidRPr="00BF4065" w:rsidRDefault="00BF4065" w:rsidP="00861FA5">
      <w:pPr>
        <w:pStyle w:val="a5"/>
        <w:framePr w:w="9631" w:h="14836" w:hRule="exact" w:wrap="through" w:vAnchor="page" w:hAnchor="page" w:x="1816" w:y="118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BF4065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Кількісним критерієм та якісною ознакою суттєвості інформації про господарські операції, події та статті фінансової звітності приймається величина суттєвої помилки, без урахування якої фінансова звітніст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ь не може вважатися достовірною</w:t>
      </w:r>
    </w:p>
    <w:p w:rsidR="003B5295" w:rsidRDefault="00D01429" w:rsidP="003B5295">
      <w:pPr>
        <w:pStyle w:val="a5"/>
        <w:framePr w:w="9631" w:h="14836" w:hRule="exact" w:wrap="through" w:vAnchor="page" w:hAnchor="page" w:x="1816" w:y="1186"/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3B5295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Для деталізації інформації в аналітичному обліку про кошти, грошові документи, розрахунки, інші доходи та витрати, доходи та витрати майбутніх періодів, витрати на амортизацію та матеріальні цінності, а також з метою забезпечення складання фінансової та бюджетної звітності згідно з вимогами законодавства аналітичні рахунки відкриваються у розрізі кодів бюджетної класифікації та видів коштів (окремо за загальним та спеціальним фондами й видами коштів спеціального фонду) відповідно до Порядку відкриття аналітичних рахунків.</w:t>
      </w:r>
    </w:p>
    <w:p w:rsidR="00AA53A1" w:rsidRDefault="00613A58" w:rsidP="00AA53A1">
      <w:pPr>
        <w:pStyle w:val="a5"/>
        <w:framePr w:w="9631" w:h="14836" w:hRule="exact" w:wrap="through" w:vAnchor="page" w:hAnchor="page" w:x="1816" w:y="1186"/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613A5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Списанню підлягає майно:</w:t>
      </w:r>
    </w:p>
    <w:p w:rsidR="00613A58" w:rsidRPr="00AA53A1" w:rsidRDefault="00613A58" w:rsidP="00AA53A1">
      <w:pPr>
        <w:pStyle w:val="a5"/>
        <w:framePr w:w="9631" w:h="14836" w:hRule="exact" w:wrap="through" w:vAnchor="page" w:hAnchor="page" w:x="1816" w:y="1186"/>
        <w:widowControl w:val="0"/>
        <w:spacing w:after="0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AA53A1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12.1.</w:t>
      </w:r>
      <w:r w:rsidRPr="00AA53A1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ab/>
        <w:t>Що не може бути в установленому порядку відчужене, безоплатно передане комунальним підприємствам, установам чи організаціям та щодо якого не можуть бути застосовані інші способи управління (або їх застосування може бути економічно недоцільне).</w:t>
      </w:r>
    </w:p>
    <w:p w:rsidR="00613A58" w:rsidRDefault="00613A58" w:rsidP="00AA53A1">
      <w:pPr>
        <w:pStyle w:val="a5"/>
        <w:framePr w:w="9631" w:h="14836" w:hRule="exact" w:wrap="through" w:vAnchor="page" w:hAnchor="page" w:x="1816" w:y="1186"/>
        <w:widowControl w:val="0"/>
        <w:spacing w:after="0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613A5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12.2.</w:t>
      </w:r>
      <w:r w:rsidRPr="00613A58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ab/>
        <w:t>Морально чи фізично зношене, непридатне до подальшого використання суб’єктом господарювання, зокрема у зв’язку з будівництвом, розширенням, реконструкцією і технічним переоснащенням.</w:t>
      </w:r>
    </w:p>
    <w:p w:rsidR="00AA53A1" w:rsidRPr="003B5295" w:rsidRDefault="00AA53A1" w:rsidP="00AA53A1">
      <w:pPr>
        <w:framePr w:w="9631" w:h="14836" w:hRule="exact" w:wrap="through" w:vAnchor="page" w:hAnchor="page" w:x="1816" w:y="1186"/>
        <w:rPr>
          <w:rFonts w:ascii="Times New Roman" w:hAnsi="Times New Roman" w:cs="Times New Roman"/>
          <w:sz w:val="24"/>
          <w:szCs w:val="24"/>
        </w:rPr>
      </w:pPr>
      <w:r w:rsidRPr="003B5295">
        <w:rPr>
          <w:rFonts w:ascii="Times New Roman" w:hAnsi="Times New Roman" w:cs="Times New Roman"/>
          <w:sz w:val="24"/>
          <w:szCs w:val="24"/>
        </w:rPr>
        <w:t>12.3.</w:t>
      </w:r>
      <w:r w:rsidRPr="003B5295">
        <w:rPr>
          <w:rFonts w:ascii="Times New Roman" w:hAnsi="Times New Roman" w:cs="Times New Roman"/>
          <w:sz w:val="24"/>
          <w:szCs w:val="24"/>
        </w:rPr>
        <w:tab/>
        <w:t>Пошкоджене внаслідок аварії чи стихійного лиха та відновленню не підлягає.</w:t>
      </w:r>
    </w:p>
    <w:p w:rsidR="00AA53A1" w:rsidRPr="003B5295" w:rsidRDefault="00AA53A1" w:rsidP="00AA53A1">
      <w:pPr>
        <w:pStyle w:val="a5"/>
        <w:framePr w:w="9631" w:h="14836" w:hRule="exact" w:wrap="through" w:vAnchor="page" w:hAnchor="page" w:x="1816" w:y="1186"/>
        <w:widowControl w:val="0"/>
        <w:spacing w:after="0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B5295">
        <w:rPr>
          <w:rFonts w:ascii="Times New Roman" w:hAnsi="Times New Roman" w:cs="Times New Roman"/>
          <w:sz w:val="24"/>
          <w:szCs w:val="24"/>
        </w:rPr>
        <w:t xml:space="preserve">Списання повністю амортизованих основних фондів (засобів), інших необоротних матеріальних активів суб'єкта господарювання, первісна (переоцінена) вартість яких становить до 50 </w:t>
      </w:r>
      <w:proofErr w:type="spellStart"/>
      <w:r w:rsidRPr="003B5295">
        <w:rPr>
          <w:rFonts w:ascii="Times New Roman" w:hAnsi="Times New Roman" w:cs="Times New Roman"/>
          <w:sz w:val="24"/>
          <w:szCs w:val="24"/>
        </w:rPr>
        <w:t>тис.гривень</w:t>
      </w:r>
      <w:proofErr w:type="spellEnd"/>
      <w:r w:rsidRPr="003B5295">
        <w:rPr>
          <w:rFonts w:ascii="Times New Roman" w:hAnsi="Times New Roman" w:cs="Times New Roman"/>
          <w:sz w:val="24"/>
          <w:szCs w:val="24"/>
        </w:rPr>
        <w:t xml:space="preserve">, здійснюється за наказом керівника установи, а більше як 50 </w:t>
      </w:r>
      <w:proofErr w:type="spellStart"/>
      <w:r w:rsidRPr="003B5295">
        <w:rPr>
          <w:rFonts w:ascii="Times New Roman" w:hAnsi="Times New Roman" w:cs="Times New Roman"/>
          <w:sz w:val="24"/>
          <w:szCs w:val="24"/>
        </w:rPr>
        <w:t>тис.гривень</w:t>
      </w:r>
      <w:proofErr w:type="spellEnd"/>
      <w:r w:rsidRPr="003B5295">
        <w:rPr>
          <w:rFonts w:ascii="Times New Roman" w:hAnsi="Times New Roman" w:cs="Times New Roman"/>
          <w:sz w:val="24"/>
          <w:szCs w:val="24"/>
        </w:rPr>
        <w:t xml:space="preserve"> здійснюється за рішенням сесії сільської ради.</w:t>
      </w:r>
    </w:p>
    <w:p w:rsidR="00D01429" w:rsidRPr="00D01429" w:rsidRDefault="00D01429" w:rsidP="00D01429">
      <w:pPr>
        <w:framePr w:w="23" w:h="276" w:hRule="exact" w:wrap="through" w:vAnchor="page" w:hAnchor="page" w:x="718" w:y="1090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</w:pP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0"/>
          <w:numId w:val="8"/>
        </w:numPr>
        <w:tabs>
          <w:tab w:val="left" w:pos="1196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Списанню підлягає майно: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1"/>
          <w:numId w:val="8"/>
        </w:numPr>
        <w:tabs>
          <w:tab w:val="left" w:pos="1327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Що не може бути в установленому порядку відчужене, безоплатно передане комунальним підприємствам, установам чи організаціям та щодо якого не можуть бути застосовані інші способи управління (або їх застосування може бути економічно недоцільне).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1"/>
          <w:numId w:val="8"/>
        </w:numPr>
        <w:tabs>
          <w:tab w:val="left" w:pos="1327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Морально чи фізично зношене, непридатне до подальшого використання суб’єктом господарювання, зокрема у зв’язку з будівництвом, розширенням, реконструкцією і технічним переоснащенням.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1"/>
          <w:numId w:val="8"/>
        </w:numPr>
        <w:tabs>
          <w:tab w:val="left" w:pos="1374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Пошкоджене внаслідок аварії чи стихійного лиха та відновленню не підлягає.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0"/>
          <w:numId w:val="8"/>
        </w:numPr>
        <w:tabs>
          <w:tab w:val="left" w:pos="1136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Списання повністю амортизованих основних фондів (засобів), інших необоротних матеріальних активів суб'єкта господарювання, первісна (переоцінена) вартість яких становить до 50 </w:t>
      </w:r>
      <w:proofErr w:type="spellStart"/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тис.гривень</w:t>
      </w:r>
      <w:proofErr w:type="spellEnd"/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, здійснюється за наказом керівника установи, а більше як 50 </w:t>
      </w:r>
      <w:proofErr w:type="spellStart"/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тис.гривень</w:t>
      </w:r>
      <w:proofErr w:type="spellEnd"/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 здійснюється за рішенням сесії сільської ради.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numPr>
          <w:ilvl w:val="0"/>
          <w:numId w:val="8"/>
        </w:numPr>
        <w:tabs>
          <w:tab w:val="left" w:pos="1196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Додатками дощаного Положення є:</w:t>
      </w:r>
    </w:p>
    <w:p w:rsidR="00D01429" w:rsidRPr="00D01429" w:rsidRDefault="00D01429" w:rsidP="00E54D01">
      <w:pPr>
        <w:framePr w:w="9991" w:h="60" w:hRule="exact" w:wrap="through" w:vAnchor="page" w:hAnchor="page" w:x="451" w:y="5987"/>
        <w:widowControl w:val="0"/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  <w:r w:rsidRPr="00D01429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>14.1. Перелік національних положень (стандартів) бухгалтерського обліку в державному секторі та методичних рекомендацій, відповідно до яких ведеться бухгалтерський облік.</w:t>
      </w:r>
    </w:p>
    <w:p w:rsidR="00D01429" w:rsidRPr="00D01429" w:rsidRDefault="00D01429" w:rsidP="00D01429">
      <w:pPr>
        <w:framePr w:w="2208" w:h="1175" w:hRule="exact" w:wrap="through" w:vAnchor="page" w:hAnchor="page" w:x="2599" w:y="11587"/>
        <w:widowControl w:val="0"/>
        <w:spacing w:after="0" w:line="557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</w:p>
    <w:p w:rsidR="00D01429" w:rsidRPr="00D01429" w:rsidRDefault="00D01429" w:rsidP="00861FA5">
      <w:pPr>
        <w:framePr w:w="2208" w:h="1175" w:hRule="exact" w:wrap="through" w:vAnchor="page" w:hAnchor="page" w:x="2599" w:y="11587"/>
        <w:widowControl w:val="0"/>
        <w:spacing w:after="0" w:line="557" w:lineRule="exact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</w:pPr>
    </w:p>
    <w:p w:rsidR="003B5295" w:rsidRPr="003B5295" w:rsidRDefault="003B5295" w:rsidP="003B5295">
      <w:pPr>
        <w:rPr>
          <w:rFonts w:ascii="Times New Roman" w:hAnsi="Times New Roman" w:cs="Times New Roman"/>
          <w:sz w:val="24"/>
          <w:szCs w:val="24"/>
        </w:rPr>
      </w:pPr>
    </w:p>
    <w:p w:rsidR="003B5295" w:rsidRPr="003B5295" w:rsidRDefault="003B5295" w:rsidP="003B5295">
      <w:pPr>
        <w:rPr>
          <w:rFonts w:ascii="Times New Roman" w:hAnsi="Times New Roman" w:cs="Times New Roman"/>
          <w:sz w:val="24"/>
          <w:szCs w:val="24"/>
        </w:rPr>
      </w:pPr>
      <w:r w:rsidRPr="003B5295">
        <w:rPr>
          <w:rFonts w:ascii="Times New Roman" w:hAnsi="Times New Roman" w:cs="Times New Roman"/>
          <w:sz w:val="24"/>
          <w:szCs w:val="24"/>
        </w:rPr>
        <w:t>14.</w:t>
      </w:r>
      <w:r w:rsidRPr="003B5295">
        <w:rPr>
          <w:rFonts w:ascii="Times New Roman" w:hAnsi="Times New Roman" w:cs="Times New Roman"/>
          <w:sz w:val="24"/>
          <w:szCs w:val="24"/>
        </w:rPr>
        <w:tab/>
        <w:t>Додатками дощаного Положення є:</w:t>
      </w:r>
    </w:p>
    <w:p w:rsidR="00A55AA1" w:rsidRDefault="003B5295" w:rsidP="003B5295">
      <w:pPr>
        <w:rPr>
          <w:rFonts w:ascii="Times New Roman" w:hAnsi="Times New Roman" w:cs="Times New Roman"/>
          <w:sz w:val="24"/>
          <w:szCs w:val="24"/>
        </w:rPr>
      </w:pPr>
      <w:r w:rsidRPr="003B5295">
        <w:rPr>
          <w:rFonts w:ascii="Times New Roman" w:hAnsi="Times New Roman" w:cs="Times New Roman"/>
          <w:sz w:val="24"/>
          <w:szCs w:val="24"/>
        </w:rPr>
        <w:t>14.1. Перелік національних положень (стандартів) бухгалтерського обліку в державному секторі та методичних рекомендацій, відповідно до яких ведеться бухгалтерський</w:t>
      </w:r>
      <w:r w:rsidR="00B708E8">
        <w:rPr>
          <w:rFonts w:ascii="Times New Roman" w:hAnsi="Times New Roman" w:cs="Times New Roman"/>
          <w:sz w:val="24"/>
          <w:szCs w:val="24"/>
        </w:rPr>
        <w:t xml:space="preserve"> облік.</w:t>
      </w: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5B39A0" w:rsidRDefault="005B39A0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Pr="006E1E6C" w:rsidRDefault="006E1E6C" w:rsidP="006E1E6C">
      <w:pPr>
        <w:rPr>
          <w:rFonts w:ascii="Times New Roman" w:hAnsi="Times New Roman" w:cs="Times New Roman"/>
          <w:b/>
          <w:bCs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b/>
          <w:bCs/>
          <w:sz w:val="24"/>
          <w:szCs w:val="24"/>
          <w:lang w:bidi="uk-UA"/>
        </w:rPr>
        <w:lastRenderedPageBreak/>
        <w:t>Порядок відкриття аналітичних рахунків.</w:t>
      </w:r>
    </w:p>
    <w:p w:rsidR="006E1E6C" w:rsidRPr="006E1E6C" w:rsidRDefault="006E1E6C" w:rsidP="006E1E6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Порядок відкриття аналітичних рахунків (далі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>Порядок регламентує відкриття субрахунків четвертого порядку на</w:t>
      </w:r>
      <w:r w:rsidR="000579E9">
        <w:rPr>
          <w:rFonts w:ascii="Times New Roman" w:hAnsi="Times New Roman" w:cs="Times New Roman"/>
          <w:sz w:val="24"/>
          <w:szCs w:val="24"/>
          <w:lang w:bidi="uk-UA"/>
        </w:rPr>
        <w:t xml:space="preserve"> балансі фінансового відділу</w:t>
      </w:r>
      <w:r w:rsidR="00AF22C2">
        <w:rPr>
          <w:rFonts w:ascii="Times New Roman" w:hAnsi="Times New Roman" w:cs="Times New Roman"/>
          <w:sz w:val="24"/>
          <w:szCs w:val="24"/>
          <w:lang w:bidi="uk-UA"/>
        </w:rPr>
        <w:t xml:space="preserve"> Тростяне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цької сільської ради (далі ----- </w:t>
      </w:r>
      <w:r w:rsidR="000579E9">
        <w:rPr>
          <w:rFonts w:ascii="Times New Roman" w:hAnsi="Times New Roman" w:cs="Times New Roman"/>
          <w:sz w:val="24"/>
          <w:szCs w:val="24"/>
          <w:lang w:bidi="uk-UA"/>
        </w:rPr>
        <w:t>фінансовий відділ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відповідно до Плану рахунків бухгалтерського обліку бюджетних установ затвердженого наказом Міністерства фінансів України від 26.06.2015 № 611 (далі — План рахунків), а також встановлює правила кодування субрахунки четвертого порядку та рахунків аналітичного обліку.</w:t>
      </w:r>
    </w:p>
    <w:p w:rsidR="006E1E6C" w:rsidRPr="006E1E6C" w:rsidRDefault="006E1E6C" w:rsidP="006E1E6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Порядок відкриття аналітичних рахунків ґрунтується па вимога</w:t>
      </w:r>
      <w:r w:rsidRPr="006E1E6C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4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Бюджетного кодексу України від 08.07.2010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>№ 2456-VІ (далі БК).</w:t>
      </w:r>
    </w:p>
    <w:p w:rsidR="006E1E6C" w:rsidRPr="006E1E6C" w:rsidRDefault="006E1E6C" w:rsidP="006E1E6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Плану рахунків бухгалтерського обліку бюджетних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>установ затвердженого наказом Мінфіну від 26.0</w:t>
      </w:r>
      <w:r w:rsidR="000579E9">
        <w:rPr>
          <w:rFonts w:ascii="Times New Roman" w:hAnsi="Times New Roman" w:cs="Times New Roman"/>
          <w:sz w:val="24"/>
          <w:szCs w:val="24"/>
          <w:lang w:bidi="uk-UA"/>
        </w:rPr>
        <w:t>62013 № 611, нормативно-правових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актів, що регулюють бюджетні відносини в Україні.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Порядок спрямований на деталізацію інформації в аналітичному обліку про кошти, грошові документи, розрахунки, інші доходи та витрати, доходи г витрати майбутніх періоді її (у т. ч. в іноземній валюті), витрати на амортизацій та матеріальні цінності з метою забезпечення складання фінансової г бюджетної звітності згідно з вимогами законодавства у розрізі кодів бюджетне класифікації та видів коштів (окремо за загальним та спеціальним фондами видами коштів спеціального фонду).</w:t>
      </w:r>
    </w:p>
    <w:p w:rsidR="006E1E6C" w:rsidRPr="006E1E6C" w:rsidRDefault="006E1E6C" w:rsidP="006E1E6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Кодування субрахунків чет</w:t>
      </w:r>
      <w:r w:rsidR="000579E9">
        <w:rPr>
          <w:rFonts w:ascii="Times New Roman" w:hAnsi="Times New Roman" w:cs="Times New Roman"/>
          <w:sz w:val="24"/>
          <w:szCs w:val="24"/>
          <w:lang w:bidi="uk-UA"/>
        </w:rPr>
        <w:t>вертого порядку та рахунків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аналітичного обліку проводиться у такому порядку.</w:t>
      </w:r>
    </w:p>
    <w:p w:rsidR="006E1E6C" w:rsidRPr="006E1E6C" w:rsidRDefault="006E1E6C" w:rsidP="006E1E6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Для ідентифікації джерел покриття витрат на виконання діяльнос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і 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>фінансового відділу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рахункам четвертого порядку присвоюється цифра: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«1» ----- за надходженнями загального фонду;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«2» за власними надходженнями спеціального фонду;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«З» — за іншими надходженнями спеціального фонду.</w:t>
      </w:r>
    </w:p>
    <w:p w:rsidR="006E1E6C" w:rsidRPr="006E1E6C" w:rsidRDefault="006E1E6C" w:rsidP="006E1E6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Для ідентифікації груп власних надходжень спеціального фонд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>у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 xml:space="preserve">фінансового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відділу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>, які він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отримує, рахункам ана</w:t>
      </w:r>
      <w:r w:rsidR="008776BA">
        <w:rPr>
          <w:rFonts w:ascii="Times New Roman" w:hAnsi="Times New Roman" w:cs="Times New Roman"/>
          <w:sz w:val="24"/>
          <w:szCs w:val="24"/>
          <w:lang w:bidi="uk-UA"/>
        </w:rPr>
        <w:t xml:space="preserve">літичного обліку п'ятого порядку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присвоюється п'ята цифра: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«1» -— за надходженнями від плати за послуги, що надаються </w:t>
      </w:r>
      <w:r w:rsidR="00D7126D">
        <w:rPr>
          <w:rFonts w:ascii="Times New Roman" w:hAnsi="Times New Roman" w:cs="Times New Roman"/>
          <w:sz w:val="24"/>
          <w:szCs w:val="24"/>
          <w:lang w:bidi="uk-UA"/>
        </w:rPr>
        <w:t xml:space="preserve">у фінансовий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відділ згідно з законодавством (перша група);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«2»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 xml:space="preserve"> за іншими джерелами вла</w:t>
      </w:r>
      <w:r w:rsidR="00D7126D">
        <w:rPr>
          <w:rFonts w:ascii="Times New Roman" w:hAnsi="Times New Roman" w:cs="Times New Roman"/>
          <w:sz w:val="24"/>
          <w:szCs w:val="24"/>
          <w:lang w:bidi="uk-UA"/>
        </w:rPr>
        <w:t>сних надходжень бюджетних установ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(друга група).</w:t>
      </w:r>
    </w:p>
    <w:p w:rsidR="006E1E6C" w:rsidRPr="006E1E6C" w:rsidRDefault="006E1E6C" w:rsidP="006E1E6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Для ідентифікації власних надходжень спеціального фонду підгрупами у складі першої та другої груп рахункам аналітичного обліг шостого порядку присвоюється:</w:t>
      </w:r>
    </w:p>
    <w:p w:rsidR="006E1E6C" w:rsidRPr="006E1E6C" w:rsidRDefault="006E1E6C" w:rsidP="006E1E6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за підгрупами, які виділяються у складі першої групи, шоста цифра: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«1»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 xml:space="preserve"> за платою за послуги, що надаються </w:t>
      </w:r>
      <w:r w:rsidR="00D7126D">
        <w:rPr>
          <w:rFonts w:ascii="Times New Roman" w:hAnsi="Times New Roman" w:cs="Times New Roman"/>
          <w:sz w:val="24"/>
          <w:szCs w:val="24"/>
          <w:lang w:bidi="uk-UA"/>
        </w:rPr>
        <w:t xml:space="preserve">фінансовому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відділу згідно</w:t>
      </w:r>
      <w:r w:rsidR="00D7126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основною діяльністю (підгрупа 1);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«2» за надходженнями </w:t>
      </w:r>
      <w:r w:rsidR="00D7126D">
        <w:rPr>
          <w:rFonts w:ascii="Times New Roman" w:hAnsi="Times New Roman" w:cs="Times New Roman"/>
          <w:sz w:val="24"/>
          <w:szCs w:val="24"/>
          <w:lang w:bidi="uk-UA"/>
        </w:rPr>
        <w:t xml:space="preserve">фінансового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від додаткової (господарські діяльності (підгрупа 2);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«З» — за платою за оренду майна </w:t>
      </w:r>
      <w:r w:rsidR="00CB3267">
        <w:rPr>
          <w:rFonts w:ascii="Times New Roman" w:hAnsi="Times New Roman" w:cs="Times New Roman"/>
          <w:sz w:val="24"/>
          <w:szCs w:val="24"/>
          <w:lang w:bidi="uk-UA"/>
        </w:rPr>
        <w:t xml:space="preserve">фінансового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відділу (підгрупа 3);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«4» — за надходженнями ЦРЛ від реалізації в установленому</w:t>
      </w:r>
      <w:r w:rsidR="00CB3267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6E1E6C">
        <w:rPr>
          <w:rFonts w:ascii="Times New Roman" w:hAnsi="Times New Roman" w:cs="Times New Roman"/>
          <w:b/>
          <w:bCs/>
          <w:sz w:val="24"/>
          <w:szCs w:val="24"/>
          <w:lang w:bidi="uk-UA"/>
        </w:rPr>
        <w:t xml:space="preserve">фізичних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осіб та від бюджетних установ для виконання цільова</w:t>
      </w:r>
    </w:p>
    <w:p w:rsidR="006E1E6C" w:rsidRPr="006E1E6C" w:rsidRDefault="006E1E6C" w:rsidP="00CB3267">
      <w:pPr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заходів, у т. ч. заходів з відчуження для су</w:t>
      </w:r>
      <w:r w:rsidR="00CB3267">
        <w:rPr>
          <w:rFonts w:ascii="Times New Roman" w:hAnsi="Times New Roman" w:cs="Times New Roman"/>
          <w:sz w:val="24"/>
          <w:szCs w:val="24"/>
          <w:lang w:bidi="uk-UA"/>
        </w:rPr>
        <w:t>спільних потреб земельних ділянок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та розміщених на них інших об'єктів нерухомого майна, що перебувають приватній власності фізичних або юридичних осіб (підгрупа 2). На цьо</w:t>
      </w:r>
      <w:r w:rsidR="001679A3">
        <w:rPr>
          <w:rFonts w:ascii="Times New Roman" w:hAnsi="Times New Roman" w:cs="Times New Roman"/>
          <w:sz w:val="24"/>
          <w:szCs w:val="24"/>
          <w:lang w:bidi="uk-UA"/>
        </w:rPr>
        <w:t>м</w:t>
      </w:r>
      <w:r w:rsidR="00CB3267">
        <w:rPr>
          <w:rFonts w:ascii="Times New Roman" w:hAnsi="Times New Roman" w:cs="Times New Roman"/>
          <w:sz w:val="24"/>
          <w:szCs w:val="24"/>
          <w:lang w:bidi="uk-UA"/>
        </w:rPr>
        <w:t>у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аналітичному рахунку також відображається інформація про товари (роботі послуги), придбані головним розпорядником коштів державного бюджет</w:t>
      </w:r>
      <w:r w:rsidR="001A78CC">
        <w:rPr>
          <w:rFonts w:ascii="Times New Roman" w:hAnsi="Times New Roman" w:cs="Times New Roman"/>
          <w:sz w:val="24"/>
          <w:szCs w:val="24"/>
          <w:lang w:bidi="uk-UA"/>
        </w:rPr>
        <w:t>у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(місцевих бюджетів) за рахунок видатків на</w:t>
      </w:r>
      <w:r w:rsidR="001679A3">
        <w:rPr>
          <w:rFonts w:ascii="Times New Roman" w:hAnsi="Times New Roman" w:cs="Times New Roman"/>
          <w:sz w:val="24"/>
          <w:szCs w:val="24"/>
          <w:lang w:bidi="uk-UA"/>
        </w:rPr>
        <w:t xml:space="preserve"> централізовані заходи відповідно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до програмних документів економічного та соціального розвитку, д</w:t>
      </w:r>
      <w:r w:rsidR="001679A3">
        <w:rPr>
          <w:rFonts w:ascii="Times New Roman" w:hAnsi="Times New Roman" w:cs="Times New Roman"/>
          <w:sz w:val="24"/>
          <w:szCs w:val="24"/>
          <w:lang w:bidi="uk-UA"/>
        </w:rPr>
        <w:t>ержавних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цільових програм, що можуть бути </w:t>
      </w:r>
      <w:r w:rsidR="001679A3">
        <w:rPr>
          <w:rFonts w:ascii="Times New Roman" w:hAnsi="Times New Roman" w:cs="Times New Roman"/>
          <w:sz w:val="24"/>
          <w:szCs w:val="24"/>
          <w:lang w:bidi="uk-UA"/>
        </w:rPr>
        <w:t>передані бюджетним установам, які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утримуються з інших місцевих бюджетів відпо</w:t>
      </w:r>
      <w:r w:rsidR="001679A3">
        <w:rPr>
          <w:rFonts w:ascii="Times New Roman" w:hAnsi="Times New Roman" w:cs="Times New Roman"/>
          <w:sz w:val="24"/>
          <w:szCs w:val="24"/>
          <w:lang w:bidi="uk-UA"/>
        </w:rPr>
        <w:t>відно до частини третьої статті БК.</w:t>
      </w:r>
    </w:p>
    <w:p w:rsidR="006E1E6C" w:rsidRPr="006E1E6C" w:rsidRDefault="006E1E6C" w:rsidP="00CB3267">
      <w:pPr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4/1. Для ідентифікації внутрішньовідомчого переміщення активів </w:t>
      </w:r>
      <w:proofErr w:type="spellStart"/>
      <w:r w:rsidRPr="006E1E6C">
        <w:rPr>
          <w:rFonts w:ascii="Times New Roman" w:hAnsi="Times New Roman" w:cs="Times New Roman"/>
          <w:sz w:val="24"/>
          <w:szCs w:val="24"/>
          <w:lang w:bidi="uk-UA"/>
        </w:rPr>
        <w:t>невключення</w:t>
      </w:r>
      <w:proofErr w:type="spellEnd"/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 цієї інформації до доходів та витрат і відповідних фор</w:t>
      </w:r>
      <w:r w:rsidR="00E3058A">
        <w:rPr>
          <w:rFonts w:ascii="Times New Roman" w:hAnsi="Times New Roman" w:cs="Times New Roman"/>
          <w:sz w:val="24"/>
          <w:szCs w:val="24"/>
          <w:lang w:bidi="uk-UA"/>
        </w:rPr>
        <w:t>м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: фінансової та бюджетної звітності рахункам аналітичного обліку сьомої порядку присвоюється сьома цифра: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«1» — за активами, які були придбані</w:t>
      </w:r>
      <w:bookmarkStart w:id="1" w:name="bookmark11"/>
      <w:r w:rsidR="00E3058A">
        <w:rPr>
          <w:rFonts w:ascii="Times New Roman" w:hAnsi="Times New Roman" w:cs="Times New Roman"/>
          <w:sz w:val="24"/>
          <w:szCs w:val="24"/>
          <w:lang w:bidi="uk-UA"/>
        </w:rPr>
        <w:t xml:space="preserve"> за рахунок асигнувань загального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фонду;</w:t>
      </w:r>
      <w:bookmarkEnd w:id="1"/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«2»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 xml:space="preserve"> за активами, які були придбані за рахуно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>к власних н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адходжен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 xml:space="preserve">ь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спеціального</w:t>
      </w:r>
      <w:r w:rsidR="00E3058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фонду;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 xml:space="preserve">«З»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ab/>
        <w:t xml:space="preserve"> за активами, які 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>були придбані за рахунок інших н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адходжен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 xml:space="preserve">ь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спеціального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фонду.</w:t>
      </w:r>
    </w:p>
    <w:p w:rsidR="006E1E6C" w:rsidRPr="006E1E6C" w:rsidRDefault="006E1E6C" w:rsidP="006E1E6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Для ідентифікації коштів бюджетів і включення цієї інформації д&lt; доходів га витрат і відповідних форм фінансової та бюджетної звітнос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і рахункам аналітичного обліку восьмого порядку присвоюється восьма цифра: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«0» — за активами, які були придбані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 xml:space="preserve"> за рахунок асигнувань державного</w:t>
      </w:r>
      <w:r w:rsidRPr="006E1E6C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 xml:space="preserve">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бюджету;</w:t>
      </w:r>
    </w:p>
    <w:p w:rsidR="006E1E6C" w:rsidRPr="006E1E6C" w:rsidRDefault="006E1E6C" w:rsidP="006E1E6C">
      <w:pPr>
        <w:rPr>
          <w:rFonts w:ascii="Times New Roman" w:hAnsi="Times New Roman" w:cs="Times New Roman"/>
          <w:sz w:val="24"/>
          <w:szCs w:val="24"/>
          <w:lang w:bidi="uk-UA"/>
        </w:rPr>
      </w:pPr>
      <w:r w:rsidRPr="006E1E6C">
        <w:rPr>
          <w:rFonts w:ascii="Times New Roman" w:hAnsi="Times New Roman" w:cs="Times New Roman"/>
          <w:sz w:val="24"/>
          <w:szCs w:val="24"/>
          <w:lang w:bidi="uk-UA"/>
        </w:rPr>
        <w:t>«1» —- за активами, які були придбан</w:t>
      </w:r>
      <w:r w:rsidR="002D6FB3">
        <w:rPr>
          <w:rFonts w:ascii="Times New Roman" w:hAnsi="Times New Roman" w:cs="Times New Roman"/>
          <w:sz w:val="24"/>
          <w:szCs w:val="24"/>
          <w:lang w:bidi="uk-UA"/>
        </w:rPr>
        <w:t>і за рахунок асигнувань районного</w:t>
      </w:r>
      <w:r w:rsidRPr="006E1E6C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 xml:space="preserve"> </w:t>
      </w:r>
      <w:r w:rsidRPr="006E1E6C">
        <w:rPr>
          <w:rFonts w:ascii="Times New Roman" w:hAnsi="Times New Roman" w:cs="Times New Roman"/>
          <w:sz w:val="24"/>
          <w:szCs w:val="24"/>
          <w:lang w:bidi="uk-UA"/>
        </w:rPr>
        <w:t>бюджету.</w:t>
      </w:r>
    </w:p>
    <w:p w:rsidR="006E1E6C" w:rsidRDefault="006E1E6C" w:rsidP="006E1E6C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p w:rsidR="006E1E6C" w:rsidRPr="00A55AA1" w:rsidRDefault="006E1E6C" w:rsidP="003B5295">
      <w:pPr>
        <w:rPr>
          <w:rFonts w:ascii="Times New Roman" w:hAnsi="Times New Roman" w:cs="Times New Roman"/>
          <w:sz w:val="24"/>
          <w:szCs w:val="24"/>
        </w:rPr>
      </w:pPr>
    </w:p>
    <w:sectPr w:rsidR="006E1E6C" w:rsidRPr="00A55AA1" w:rsidSect="00534EB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96A"/>
    <w:multiLevelType w:val="hybridMultilevel"/>
    <w:tmpl w:val="BB7657EA"/>
    <w:lvl w:ilvl="0" w:tplc="32BCB99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73FF0"/>
    <w:multiLevelType w:val="hybridMultilevel"/>
    <w:tmpl w:val="5C16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4F38"/>
    <w:multiLevelType w:val="hybridMultilevel"/>
    <w:tmpl w:val="13DAD6D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3C3A3229"/>
    <w:multiLevelType w:val="hybridMultilevel"/>
    <w:tmpl w:val="461E76DE"/>
    <w:lvl w:ilvl="0" w:tplc="660C39D6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076C6"/>
    <w:multiLevelType w:val="multilevel"/>
    <w:tmpl w:val="C3C622C0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DC31C06"/>
    <w:multiLevelType w:val="multilevel"/>
    <w:tmpl w:val="745EB140"/>
    <w:lvl w:ilvl="0">
      <w:start w:val="12"/>
      <w:numFmt w:val="decimal"/>
      <w:lvlText w:val="%1."/>
      <w:lvlJc w:val="left"/>
      <w:pPr>
        <w:ind w:left="1702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702" w:firstLine="0"/>
      </w:pPr>
    </w:lvl>
    <w:lvl w:ilvl="3">
      <w:start w:val="1"/>
      <w:numFmt w:val="none"/>
      <w:suff w:val="nothing"/>
      <w:lvlText w:val=""/>
      <w:lvlJc w:val="left"/>
      <w:pPr>
        <w:ind w:left="1702" w:firstLine="0"/>
      </w:pPr>
    </w:lvl>
    <w:lvl w:ilvl="4">
      <w:start w:val="1"/>
      <w:numFmt w:val="none"/>
      <w:suff w:val="nothing"/>
      <w:lvlText w:val=""/>
      <w:lvlJc w:val="left"/>
      <w:pPr>
        <w:ind w:left="1702" w:firstLine="0"/>
      </w:pPr>
    </w:lvl>
    <w:lvl w:ilvl="5">
      <w:start w:val="1"/>
      <w:numFmt w:val="none"/>
      <w:suff w:val="nothing"/>
      <w:lvlText w:val=""/>
      <w:lvlJc w:val="left"/>
      <w:pPr>
        <w:ind w:left="1702" w:firstLine="0"/>
      </w:pPr>
    </w:lvl>
    <w:lvl w:ilvl="6">
      <w:start w:val="1"/>
      <w:numFmt w:val="none"/>
      <w:suff w:val="nothing"/>
      <w:lvlText w:val=""/>
      <w:lvlJc w:val="left"/>
      <w:pPr>
        <w:ind w:left="1702" w:firstLine="0"/>
      </w:pPr>
    </w:lvl>
    <w:lvl w:ilvl="7">
      <w:start w:val="1"/>
      <w:numFmt w:val="none"/>
      <w:suff w:val="nothing"/>
      <w:lvlText w:val=""/>
      <w:lvlJc w:val="left"/>
      <w:pPr>
        <w:ind w:left="1702" w:firstLine="0"/>
      </w:pPr>
    </w:lvl>
    <w:lvl w:ilvl="8">
      <w:start w:val="1"/>
      <w:numFmt w:val="none"/>
      <w:suff w:val="nothing"/>
      <w:lvlText w:val=""/>
      <w:lvlJc w:val="left"/>
      <w:pPr>
        <w:ind w:left="1702" w:firstLine="0"/>
      </w:pPr>
    </w:lvl>
  </w:abstractNum>
  <w:abstractNum w:abstractNumId="6">
    <w:nsid w:val="45B02F88"/>
    <w:multiLevelType w:val="multilevel"/>
    <w:tmpl w:val="678E4A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sz w:val="28"/>
        <w:szCs w:val="28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BC343DC"/>
    <w:multiLevelType w:val="multilevel"/>
    <w:tmpl w:val="1668FCE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sz w:val="28"/>
        <w:szCs w:val="28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FA35838"/>
    <w:multiLevelType w:val="multilevel"/>
    <w:tmpl w:val="6B82BEB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21A0347"/>
    <w:multiLevelType w:val="multilevel"/>
    <w:tmpl w:val="C3C622C0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11E0E7A"/>
    <w:multiLevelType w:val="multilevel"/>
    <w:tmpl w:val="85EC37A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33F353D"/>
    <w:multiLevelType w:val="multilevel"/>
    <w:tmpl w:val="46D82042"/>
    <w:lvl w:ilvl="0">
      <w:start w:val="5"/>
      <w:numFmt w:val="decimal"/>
      <w:lvlText w:val="4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2"/>
    <w:rsid w:val="000579E9"/>
    <w:rsid w:val="000E27A8"/>
    <w:rsid w:val="00103943"/>
    <w:rsid w:val="001679A3"/>
    <w:rsid w:val="00195F6A"/>
    <w:rsid w:val="001A78CC"/>
    <w:rsid w:val="00240617"/>
    <w:rsid w:val="002963E2"/>
    <w:rsid w:val="002B22FC"/>
    <w:rsid w:val="002D6FB3"/>
    <w:rsid w:val="00357CC5"/>
    <w:rsid w:val="0039155E"/>
    <w:rsid w:val="003B5295"/>
    <w:rsid w:val="00490438"/>
    <w:rsid w:val="00534EB9"/>
    <w:rsid w:val="00582B97"/>
    <w:rsid w:val="005B39A0"/>
    <w:rsid w:val="00613A58"/>
    <w:rsid w:val="006448CD"/>
    <w:rsid w:val="006C4FE4"/>
    <w:rsid w:val="006E1E6C"/>
    <w:rsid w:val="006F7C42"/>
    <w:rsid w:val="007A76E3"/>
    <w:rsid w:val="007E7A50"/>
    <w:rsid w:val="00861FA5"/>
    <w:rsid w:val="008776BA"/>
    <w:rsid w:val="008A36C0"/>
    <w:rsid w:val="008A4641"/>
    <w:rsid w:val="00910FED"/>
    <w:rsid w:val="00993C92"/>
    <w:rsid w:val="009B57FD"/>
    <w:rsid w:val="009E7B91"/>
    <w:rsid w:val="009F7D32"/>
    <w:rsid w:val="00A04FBE"/>
    <w:rsid w:val="00A42944"/>
    <w:rsid w:val="00A43B19"/>
    <w:rsid w:val="00A55AA1"/>
    <w:rsid w:val="00A761E6"/>
    <w:rsid w:val="00AA53A1"/>
    <w:rsid w:val="00AF22C2"/>
    <w:rsid w:val="00B708E8"/>
    <w:rsid w:val="00BF4065"/>
    <w:rsid w:val="00C07812"/>
    <w:rsid w:val="00CB3267"/>
    <w:rsid w:val="00D01429"/>
    <w:rsid w:val="00D24825"/>
    <w:rsid w:val="00D7126D"/>
    <w:rsid w:val="00E3058A"/>
    <w:rsid w:val="00E54D01"/>
    <w:rsid w:val="00E651A8"/>
    <w:rsid w:val="00EB58F6"/>
    <w:rsid w:val="00E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C92"/>
  </w:style>
  <w:style w:type="character" w:styleId="a4">
    <w:name w:val="Hyperlink"/>
    <w:basedOn w:val="a0"/>
    <w:uiPriority w:val="99"/>
    <w:semiHidden/>
    <w:unhideWhenUsed/>
    <w:rsid w:val="00993C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3C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3C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9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93C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2B9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qFormat/>
    <w:rsid w:val="00910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10FED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C92"/>
  </w:style>
  <w:style w:type="character" w:styleId="a4">
    <w:name w:val="Hyperlink"/>
    <w:basedOn w:val="a0"/>
    <w:uiPriority w:val="99"/>
    <w:semiHidden/>
    <w:unhideWhenUsed/>
    <w:rsid w:val="00993C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3C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3C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9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93C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2B9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qFormat/>
    <w:rsid w:val="00910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10FED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27E0-0664-428B-869C-FCC19023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8607</Words>
  <Characters>4906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irusya</dc:creator>
  <cp:keywords/>
  <dc:description/>
  <cp:lastModifiedBy>User2</cp:lastModifiedBy>
  <cp:revision>16</cp:revision>
  <cp:lastPrinted>2021-03-10T15:00:00Z</cp:lastPrinted>
  <dcterms:created xsi:type="dcterms:W3CDTF">2021-02-26T09:03:00Z</dcterms:created>
  <dcterms:modified xsi:type="dcterms:W3CDTF">2021-04-05T12:06:00Z</dcterms:modified>
</cp:coreProperties>
</file>