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51" w:rsidRDefault="000B1451" w:rsidP="001A2DCB">
      <w:pPr>
        <w:spacing w:after="0" w:line="240" w:lineRule="auto"/>
        <w:jc w:val="center"/>
        <w:outlineLvl w:val="0"/>
        <w:rPr>
          <w:rFonts w:ascii="Times New Roman" w:hAnsi="Times New Roman"/>
          <w:b/>
          <w:bCs/>
          <w:kern w:val="36"/>
          <w:sz w:val="32"/>
          <w:szCs w:val="32"/>
          <w:lang w:eastAsia="uk-UA"/>
        </w:rPr>
      </w:pPr>
      <w:r w:rsidRPr="001A2DCB">
        <w:rPr>
          <w:rFonts w:ascii="Times New Roman" w:hAnsi="Times New Roman"/>
          <w:b/>
          <w:bCs/>
          <w:kern w:val="36"/>
          <w:sz w:val="32"/>
          <w:szCs w:val="32"/>
          <w:lang w:eastAsia="uk-UA"/>
        </w:rPr>
        <w:t xml:space="preserve">Порядок заповнення реквізиту «Призначення платежу» розрахункових документів на переказ у разі сплати податків, зборів, платежів, єдиного внеску на загальнообов’язкове державне соціальне страхування </w:t>
      </w:r>
    </w:p>
    <w:p w:rsidR="000B1451" w:rsidRDefault="000B1451" w:rsidP="001A2DCB">
      <w:pPr>
        <w:spacing w:after="0" w:line="240" w:lineRule="auto"/>
        <w:jc w:val="center"/>
        <w:outlineLvl w:val="0"/>
        <w:rPr>
          <w:rFonts w:ascii="Times New Roman" w:hAnsi="Times New Roman"/>
          <w:b/>
          <w:bCs/>
          <w:kern w:val="36"/>
          <w:sz w:val="32"/>
          <w:szCs w:val="32"/>
          <w:lang w:eastAsia="uk-UA"/>
        </w:rPr>
      </w:pPr>
      <w:r w:rsidRPr="001A2DCB">
        <w:rPr>
          <w:rFonts w:ascii="Times New Roman" w:hAnsi="Times New Roman"/>
          <w:b/>
          <w:bCs/>
          <w:kern w:val="36"/>
          <w:sz w:val="32"/>
          <w:szCs w:val="32"/>
          <w:lang w:eastAsia="uk-UA"/>
        </w:rPr>
        <w:t>з використанням єдиного рахунку</w:t>
      </w:r>
    </w:p>
    <w:p w:rsidR="000B1451" w:rsidRPr="001A2DCB" w:rsidRDefault="000B1451" w:rsidP="001A2DCB">
      <w:pPr>
        <w:spacing w:after="0" w:line="240" w:lineRule="auto"/>
        <w:jc w:val="center"/>
        <w:outlineLvl w:val="0"/>
        <w:rPr>
          <w:rFonts w:ascii="Times New Roman" w:hAnsi="Times New Roman"/>
          <w:b/>
          <w:bCs/>
          <w:kern w:val="36"/>
          <w:sz w:val="32"/>
          <w:szCs w:val="32"/>
          <w:lang w:eastAsia="uk-UA"/>
        </w:rPr>
      </w:pPr>
    </w:p>
    <w:p w:rsidR="000B1451" w:rsidRPr="00A65798" w:rsidRDefault="000B1451" w:rsidP="00A65798">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Миколаївська ДПІ </w:t>
      </w:r>
      <w:r w:rsidRPr="00A65798">
        <w:rPr>
          <w:rFonts w:ascii="Times New Roman" w:hAnsi="Times New Roman"/>
          <w:sz w:val="28"/>
          <w:szCs w:val="28"/>
          <w:lang w:eastAsia="uk-UA"/>
        </w:rPr>
        <w:t>Г</w:t>
      </w:r>
      <w:r>
        <w:rPr>
          <w:rFonts w:ascii="Times New Roman" w:hAnsi="Times New Roman"/>
          <w:sz w:val="28"/>
          <w:szCs w:val="28"/>
          <w:lang w:eastAsia="uk-UA"/>
        </w:rPr>
        <w:t xml:space="preserve">У </w:t>
      </w:r>
      <w:r w:rsidRPr="00A65798">
        <w:rPr>
          <w:rFonts w:ascii="Times New Roman" w:hAnsi="Times New Roman"/>
          <w:sz w:val="28"/>
          <w:szCs w:val="28"/>
          <w:lang w:eastAsia="uk-UA"/>
        </w:rPr>
        <w:t xml:space="preserve">ДПС у </w:t>
      </w:r>
      <w:r>
        <w:rPr>
          <w:rFonts w:ascii="Times New Roman" w:hAnsi="Times New Roman"/>
          <w:sz w:val="28"/>
          <w:szCs w:val="28"/>
          <w:lang w:eastAsia="uk-UA"/>
        </w:rPr>
        <w:t>Львівській області</w:t>
      </w:r>
      <w:r w:rsidRPr="00A65798">
        <w:rPr>
          <w:rFonts w:ascii="Times New Roman" w:hAnsi="Times New Roman"/>
          <w:sz w:val="28"/>
          <w:szCs w:val="28"/>
          <w:lang w:eastAsia="uk-UA"/>
        </w:rPr>
        <w:t xml:space="preserve"> нагадує, що під час оформлення розрахункових документів платником мають бути заповненні всі 14 обов’язкових полів реквізиту «Призначення платежу», розділених між собою знаком «;», кожне з яких містить належну інформацію або знак «;» як ознаку наявності відповідного поля у разі, коли таке поле не підлягає заповненню (останнє з 14-ти полів завжди містить знак «#»).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Звертаємо увагу, що при заповненні полів не допускаються пропуски (пробіли) між цифрами та службовими знаками, між словами та службовими знаками.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Нижче наведено приклад заповнення реквізиту «Призначення платежу» в розрахунковому документі у разі сплати грошового зобов’язання на єдиний рахунок коштів з рахунків підприємства «Фрукти», яке має податковий номер 11335577: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10"/>
        <w:gridCol w:w="1057"/>
        <w:gridCol w:w="1057"/>
        <w:gridCol w:w="150"/>
        <w:gridCol w:w="3684"/>
        <w:gridCol w:w="1057"/>
        <w:gridCol w:w="150"/>
        <w:gridCol w:w="150"/>
        <w:gridCol w:w="150"/>
        <w:gridCol w:w="270"/>
        <w:gridCol w:w="940"/>
        <w:gridCol w:w="270"/>
        <w:gridCol w:w="270"/>
        <w:gridCol w:w="270"/>
      </w:tblGrid>
      <w:tr w:rsidR="000B1451" w:rsidRPr="00956EEE" w:rsidTr="001A2DCB">
        <w:trPr>
          <w:tblCellSpacing w:w="0" w:type="dxa"/>
        </w:trPr>
        <w:tc>
          <w:tcPr>
            <w:tcW w:w="885" w:type="dxa"/>
            <w:tcBorders>
              <w:top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1000,00 </w:t>
            </w:r>
          </w:p>
        </w:tc>
        <w:tc>
          <w:tcPr>
            <w:tcW w:w="111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;11335577 </w:t>
            </w:r>
          </w:p>
        </w:tc>
        <w:tc>
          <w:tcPr>
            <w:tcW w:w="99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;11010100 </w:t>
            </w:r>
          </w:p>
        </w:tc>
        <w:tc>
          <w:tcPr>
            <w:tcW w:w="42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156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;UA538999980333179340000026010 </w:t>
            </w:r>
          </w:p>
        </w:tc>
        <w:tc>
          <w:tcPr>
            <w:tcW w:w="99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;37993783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42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127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;ПДФО із зарплати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c>
          <w:tcPr>
            <w:tcW w:w="285" w:type="dxa"/>
            <w:tcBorders>
              <w:top w:val="outset" w:sz="6" w:space="0" w:color="auto"/>
              <w:left w:val="outset" w:sz="6" w:space="0" w:color="auto"/>
              <w:bottom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 </w:t>
            </w:r>
          </w:p>
        </w:tc>
      </w:tr>
      <w:tr w:rsidR="000B1451" w:rsidRPr="00956EEE" w:rsidTr="001A2DCB">
        <w:trPr>
          <w:tblCellSpacing w:w="0" w:type="dxa"/>
        </w:trPr>
        <w:tc>
          <w:tcPr>
            <w:tcW w:w="885" w:type="dxa"/>
            <w:tcBorders>
              <w:top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 </w:t>
            </w:r>
          </w:p>
        </w:tc>
        <w:tc>
          <w:tcPr>
            <w:tcW w:w="111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2 </w:t>
            </w:r>
          </w:p>
        </w:tc>
        <w:tc>
          <w:tcPr>
            <w:tcW w:w="99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3 </w:t>
            </w:r>
          </w:p>
        </w:tc>
        <w:tc>
          <w:tcPr>
            <w:tcW w:w="42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4 </w:t>
            </w:r>
          </w:p>
        </w:tc>
        <w:tc>
          <w:tcPr>
            <w:tcW w:w="156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5 </w:t>
            </w:r>
          </w:p>
        </w:tc>
        <w:tc>
          <w:tcPr>
            <w:tcW w:w="99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6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7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8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9 </w:t>
            </w:r>
          </w:p>
        </w:tc>
        <w:tc>
          <w:tcPr>
            <w:tcW w:w="420"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10 </w:t>
            </w:r>
          </w:p>
        </w:tc>
        <w:tc>
          <w:tcPr>
            <w:tcW w:w="127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11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12 </w:t>
            </w:r>
          </w:p>
        </w:tc>
        <w:tc>
          <w:tcPr>
            <w:tcW w:w="285" w:type="dxa"/>
            <w:tcBorders>
              <w:top w:val="outset" w:sz="6" w:space="0" w:color="auto"/>
              <w:left w:val="outset" w:sz="6" w:space="0" w:color="auto"/>
              <w:bottom w:val="outset" w:sz="6" w:space="0" w:color="auto"/>
              <w:right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13 </w:t>
            </w:r>
          </w:p>
        </w:tc>
        <w:tc>
          <w:tcPr>
            <w:tcW w:w="285" w:type="dxa"/>
            <w:tcBorders>
              <w:top w:val="outset" w:sz="6" w:space="0" w:color="auto"/>
              <w:left w:val="outset" w:sz="6" w:space="0" w:color="auto"/>
              <w:bottom w:val="outset" w:sz="6" w:space="0" w:color="auto"/>
            </w:tcBorders>
          </w:tcPr>
          <w:p w:rsidR="000B1451" w:rsidRPr="001A2DCB" w:rsidRDefault="000B1451" w:rsidP="001A2DCB">
            <w:pPr>
              <w:spacing w:after="0" w:line="240" w:lineRule="auto"/>
              <w:rPr>
                <w:rFonts w:ascii="Times New Roman" w:hAnsi="Times New Roman"/>
                <w:sz w:val="24"/>
                <w:szCs w:val="24"/>
                <w:lang w:eastAsia="uk-UA"/>
              </w:rPr>
            </w:pPr>
            <w:r w:rsidRPr="001A2DCB">
              <w:rPr>
                <w:rFonts w:ascii="Times New Roman" w:hAnsi="Times New Roman"/>
                <w:sz w:val="24"/>
                <w:szCs w:val="24"/>
                <w:lang w:eastAsia="uk-UA"/>
              </w:rPr>
              <w:t xml:space="preserve">14 </w:t>
            </w:r>
          </w:p>
        </w:tc>
      </w:tr>
    </w:tbl>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Сплату за кожним видом платежу можна оформлювати як окремим документом на переказ, так і одним документом на переказ декільком одержувачам коштів.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У разі визначення декількох одержувачів коштів, суми, зазначені в полі № 1 «Призначення платежу», мають відповідати загальній сумі переказу за розрахунковим документом, а інформація про податковий номер або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в полі № 2 «Призначення платежу» повторюється за кожним таким одержувачем.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Крім цього, в п. 15 Порядку функціонування єдиного рахунка та виконання норм ст. 35</w:t>
      </w:r>
      <w:r w:rsidRPr="00A65798">
        <w:rPr>
          <w:rFonts w:ascii="Times New Roman" w:hAnsi="Times New Roman"/>
          <w:sz w:val="28"/>
          <w:szCs w:val="28"/>
          <w:vertAlign w:val="superscript"/>
          <w:lang w:eastAsia="uk-UA"/>
        </w:rPr>
        <w:t>1</w:t>
      </w:r>
      <w:r w:rsidRPr="00A65798">
        <w:rPr>
          <w:rFonts w:ascii="Times New Roman" w:hAnsi="Times New Roman"/>
          <w:sz w:val="28"/>
          <w:szCs w:val="28"/>
          <w:lang w:eastAsia="uk-UA"/>
        </w:rPr>
        <w:t>Податкового кодексу України центральними органами виконавчої влади, затвердженого </w:t>
      </w:r>
      <w:hyperlink r:id="rId4" w:tgtFrame="_blank" w:history="1">
        <w:r w:rsidRPr="00A65798">
          <w:rPr>
            <w:rFonts w:ascii="Times New Roman" w:hAnsi="Times New Roman"/>
            <w:color w:val="0000FF"/>
            <w:sz w:val="28"/>
            <w:szCs w:val="28"/>
            <w:u w:val="single"/>
            <w:lang w:eastAsia="uk-UA"/>
          </w:rPr>
          <w:t>постановою Кабінету Міністрів України від 29 квітня 2020 року № 321</w:t>
        </w:r>
      </w:hyperlink>
      <w:r w:rsidRPr="00A65798">
        <w:rPr>
          <w:rFonts w:ascii="Times New Roman" w:hAnsi="Times New Roman"/>
          <w:sz w:val="28"/>
          <w:szCs w:val="28"/>
          <w:lang w:eastAsia="uk-UA"/>
        </w:rPr>
        <w:t xml:space="preserve"> визначено, що за коштами, які відповідно до абзацу четвертого п. 35</w:t>
      </w:r>
      <w:r w:rsidRPr="00A65798">
        <w:rPr>
          <w:rFonts w:ascii="Times New Roman" w:hAnsi="Times New Roman"/>
          <w:sz w:val="28"/>
          <w:szCs w:val="28"/>
          <w:vertAlign w:val="superscript"/>
          <w:lang w:eastAsia="uk-UA"/>
        </w:rPr>
        <w:t>1</w:t>
      </w:r>
      <w:r w:rsidRPr="00A65798">
        <w:rPr>
          <w:rFonts w:ascii="Times New Roman" w:hAnsi="Times New Roman"/>
          <w:sz w:val="28"/>
          <w:szCs w:val="28"/>
          <w:lang w:eastAsia="uk-UA"/>
        </w:rPr>
        <w:t>.7 ст. 35</w:t>
      </w:r>
      <w:r w:rsidRPr="00A65798">
        <w:rPr>
          <w:rFonts w:ascii="Times New Roman" w:hAnsi="Times New Roman"/>
          <w:sz w:val="28"/>
          <w:szCs w:val="28"/>
          <w:vertAlign w:val="superscript"/>
          <w:lang w:eastAsia="uk-UA"/>
        </w:rPr>
        <w:t>1</w:t>
      </w:r>
      <w:r w:rsidRPr="00A65798">
        <w:rPr>
          <w:rFonts w:ascii="Times New Roman" w:hAnsi="Times New Roman"/>
          <w:sz w:val="28"/>
          <w:szCs w:val="28"/>
          <w:lang w:eastAsia="uk-UA"/>
        </w:rPr>
        <w:t xml:space="preserve"> Податкового кодексу України є помилково сплаченими грошовими зобов’язаннями, ДПС не пізніше наступного робочого дня з дня зарахування таких коштів на єдиний рахунок надсилає платнику через Електронний кабінет повідомлення про виявлені помилки чи розбіжності за таким розрахунковим документом.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Платник не пізніше наступного робочого дня після отримання від ДПС повідомлення про виявлені помилки чи розбіжності за таким розрахунковим документом визначає через Електронний кабінет належність платежу відповідному одержувачу.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Якщо платник протягом зазначеного строку не визначив належність платежу відповідному одержувачу, інформація з розрахункового документа вважається інформацією без визначення належності платежу відповідному одержувачу і суми такого платежу включаються ДПС до реєстру платежів з єдиного рахунка в розрізі окремого платника у складі зведеного реєстру платежів з єдиного рахунка з урахуванням черговості сплати, визначеної п. 35</w:t>
      </w:r>
      <w:r w:rsidRPr="00A65798">
        <w:rPr>
          <w:rFonts w:ascii="Times New Roman" w:hAnsi="Times New Roman"/>
          <w:sz w:val="28"/>
          <w:szCs w:val="28"/>
          <w:vertAlign w:val="superscript"/>
          <w:lang w:eastAsia="uk-UA"/>
        </w:rPr>
        <w:t>1</w:t>
      </w:r>
      <w:r w:rsidRPr="00A65798">
        <w:rPr>
          <w:rFonts w:ascii="Times New Roman" w:hAnsi="Times New Roman"/>
          <w:sz w:val="28"/>
          <w:szCs w:val="28"/>
          <w:lang w:eastAsia="uk-UA"/>
        </w:rPr>
        <w:t>.6 ст. 35</w:t>
      </w:r>
      <w:r w:rsidRPr="00A65798">
        <w:rPr>
          <w:rFonts w:ascii="Times New Roman" w:hAnsi="Times New Roman"/>
          <w:sz w:val="28"/>
          <w:szCs w:val="28"/>
          <w:vertAlign w:val="superscript"/>
          <w:lang w:eastAsia="uk-UA"/>
        </w:rPr>
        <w:t>1</w:t>
      </w:r>
      <w:r w:rsidRPr="00A65798">
        <w:rPr>
          <w:rFonts w:ascii="Times New Roman" w:hAnsi="Times New Roman"/>
          <w:sz w:val="28"/>
          <w:szCs w:val="28"/>
          <w:lang w:eastAsia="uk-UA"/>
        </w:rPr>
        <w:t xml:space="preserve">, п. 89.7 ст. 89 та </w:t>
      </w:r>
      <w:hyperlink r:id="rId5" w:anchor="n2485" w:tgtFrame="_blank" w:history="1">
        <w:r w:rsidRPr="00A65798">
          <w:rPr>
            <w:rFonts w:ascii="Times New Roman" w:hAnsi="Times New Roman"/>
            <w:color w:val="0000FF"/>
            <w:sz w:val="28"/>
            <w:szCs w:val="28"/>
            <w:u w:val="single"/>
            <w:lang w:eastAsia="uk-UA"/>
          </w:rPr>
          <w:t>п. 131.2</w:t>
        </w:r>
      </w:hyperlink>
      <w:r w:rsidRPr="00A65798">
        <w:rPr>
          <w:rFonts w:ascii="Times New Roman" w:hAnsi="Times New Roman"/>
          <w:sz w:val="28"/>
          <w:szCs w:val="28"/>
          <w:lang w:eastAsia="uk-UA"/>
        </w:rPr>
        <w:t xml:space="preserve"> ст. 131 Податкового кодексу України.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З покроковим описом процесу уточнення платником реквізиту «Призначення платежу» розрахункового документу на переказ коштів на єдиний рахунок в ІТС «Електронний кабінет» можна ознайомитися за посиланням: </w:t>
      </w:r>
      <w:hyperlink r:id="rId6" w:history="1">
        <w:r w:rsidRPr="00A65798">
          <w:rPr>
            <w:rFonts w:ascii="Times New Roman" w:hAnsi="Times New Roman"/>
            <w:color w:val="0000FF"/>
            <w:sz w:val="28"/>
            <w:szCs w:val="28"/>
            <w:u w:val="single"/>
            <w:lang w:eastAsia="uk-UA"/>
          </w:rPr>
          <w:t>https://kyiv.tax.gov.ua/media-ark/news-ark/488101.html</w:t>
        </w:r>
      </w:hyperlink>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Довідково: Вимоги заповнення розрахункових документів на сплату податків, зборів, платежів, єдиного внеску на загальнообов’язкове державне соціальне страхування з використанням єдиного рахунку визначені Порядком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небюджетні рахунки, а також на єдиний рахунок, затвердженим </w:t>
      </w:r>
      <w:hyperlink r:id="rId7" w:tgtFrame="_blank" w:history="1">
        <w:r w:rsidRPr="00A65798">
          <w:rPr>
            <w:rFonts w:ascii="Times New Roman" w:hAnsi="Times New Roman"/>
            <w:color w:val="0000FF"/>
            <w:sz w:val="28"/>
            <w:szCs w:val="28"/>
            <w:u w:val="single"/>
            <w:lang w:eastAsia="uk-UA"/>
          </w:rPr>
          <w:t>наказом Міністерства фінансів України від 24 липня 2015 року № 666</w:t>
        </w:r>
      </w:hyperlink>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b/>
          <w:bCs/>
          <w:sz w:val="28"/>
          <w:szCs w:val="28"/>
          <w:lang w:eastAsia="uk-UA"/>
        </w:rPr>
        <w:t>Спілкуйтеся з Податковою службою дистанційно за допомогою сервісу «InfoTAX»:</w:t>
      </w:r>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hyperlink r:id="rId8" w:tgtFrame="_blank" w:history="1">
        <w:r w:rsidRPr="00A65798">
          <w:rPr>
            <w:rFonts w:ascii="Times New Roman" w:hAnsi="Times New Roman"/>
            <w:color w:val="0000FF"/>
            <w:sz w:val="28"/>
            <w:szCs w:val="28"/>
            <w:u w:val="single"/>
            <w:lang w:eastAsia="uk-UA"/>
          </w:rPr>
          <w:t>https://t.me/infoTAXbot</w:t>
        </w:r>
      </w:hyperlink>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r w:rsidRPr="00A65798">
        <w:rPr>
          <w:rFonts w:ascii="Times New Roman" w:hAnsi="Times New Roman"/>
          <w:sz w:val="28"/>
          <w:szCs w:val="28"/>
          <w:lang w:eastAsia="uk-UA"/>
        </w:rPr>
        <w:t xml:space="preserve">Підписуйтеся на канали інформування ДПС : </w:t>
      </w:r>
    </w:p>
    <w:p w:rsidR="000B1451" w:rsidRPr="00A65798" w:rsidRDefault="000B1451" w:rsidP="00A65798">
      <w:pPr>
        <w:spacing w:after="0" w:line="240" w:lineRule="auto"/>
        <w:ind w:firstLine="567"/>
        <w:jc w:val="both"/>
        <w:rPr>
          <w:rFonts w:ascii="Times New Roman" w:hAnsi="Times New Roman"/>
          <w:sz w:val="28"/>
          <w:szCs w:val="28"/>
          <w:lang w:eastAsia="uk-UA"/>
        </w:rPr>
      </w:pPr>
      <w:hyperlink r:id="rId9" w:tgtFrame="_blank" w:history="1">
        <w:r w:rsidRPr="00A65798">
          <w:rPr>
            <w:rFonts w:ascii="Times New Roman" w:hAnsi="Times New Roman"/>
            <w:color w:val="0000FF"/>
            <w:sz w:val="28"/>
            <w:szCs w:val="28"/>
            <w:u w:val="single"/>
            <w:lang w:eastAsia="uk-UA"/>
          </w:rPr>
          <w:t>https://t.me/tax_gov_ua</w:t>
        </w:r>
      </w:hyperlink>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hyperlink r:id="rId10" w:history="1">
        <w:r w:rsidRPr="00A65798">
          <w:rPr>
            <w:rFonts w:ascii="Times New Roman" w:hAnsi="Times New Roman"/>
            <w:color w:val="0000FF"/>
            <w:sz w:val="28"/>
            <w:szCs w:val="28"/>
            <w:u w:val="single"/>
            <w:lang w:eastAsia="uk-UA"/>
          </w:rPr>
          <w:t>facebook.com/TaxUkraine/</w:t>
        </w:r>
      </w:hyperlink>
      <w:r w:rsidRPr="00A65798">
        <w:rPr>
          <w:rFonts w:ascii="Times New Roman" w:hAnsi="Times New Roman"/>
          <w:sz w:val="28"/>
          <w:szCs w:val="28"/>
          <w:lang w:eastAsia="uk-UA"/>
        </w:rPr>
        <w:t xml:space="preserve"> </w:t>
      </w:r>
    </w:p>
    <w:p w:rsidR="000B1451" w:rsidRPr="00A65798" w:rsidRDefault="000B1451" w:rsidP="00A65798">
      <w:pPr>
        <w:spacing w:after="0" w:line="240" w:lineRule="auto"/>
        <w:ind w:firstLine="567"/>
        <w:jc w:val="both"/>
        <w:rPr>
          <w:rFonts w:ascii="Times New Roman" w:hAnsi="Times New Roman"/>
          <w:sz w:val="28"/>
          <w:szCs w:val="28"/>
          <w:lang w:eastAsia="uk-UA"/>
        </w:rPr>
      </w:pPr>
      <w:hyperlink r:id="rId11" w:tgtFrame="_blank" w:history="1">
        <w:r w:rsidRPr="00A65798">
          <w:rPr>
            <w:rFonts w:ascii="Times New Roman" w:hAnsi="Times New Roman"/>
            <w:color w:val="0000FF"/>
            <w:sz w:val="28"/>
            <w:szCs w:val="28"/>
            <w:u w:val="single"/>
            <w:lang w:eastAsia="uk-UA"/>
          </w:rPr>
          <w:t>youtube.com/TaxUkraine</w:t>
        </w:r>
      </w:hyperlink>
      <w:r w:rsidRPr="00A65798">
        <w:rPr>
          <w:rFonts w:ascii="Times New Roman" w:hAnsi="Times New Roman"/>
          <w:sz w:val="28"/>
          <w:szCs w:val="28"/>
          <w:lang w:eastAsia="uk-UA"/>
        </w:rPr>
        <w:t>     </w:t>
      </w:r>
    </w:p>
    <w:p w:rsidR="000B1451" w:rsidRDefault="000B1451" w:rsidP="00A65798">
      <w:pPr>
        <w:spacing w:after="0" w:line="240" w:lineRule="auto"/>
        <w:ind w:firstLine="567"/>
        <w:rPr>
          <w:rFonts w:ascii="Times New Roman" w:hAnsi="Times New Roman"/>
          <w:sz w:val="28"/>
          <w:szCs w:val="28"/>
        </w:rPr>
      </w:pPr>
    </w:p>
    <w:p w:rsidR="000B1451" w:rsidRDefault="000B1451" w:rsidP="00A65798">
      <w:pPr>
        <w:spacing w:after="0" w:line="240" w:lineRule="auto"/>
        <w:ind w:firstLine="567"/>
        <w:rPr>
          <w:rFonts w:ascii="Times New Roman" w:hAnsi="Times New Roman"/>
          <w:sz w:val="28"/>
          <w:szCs w:val="28"/>
        </w:rPr>
      </w:pPr>
    </w:p>
    <w:p w:rsidR="000B1451" w:rsidRPr="00952DDA" w:rsidRDefault="000B1451" w:rsidP="004F2CB9">
      <w:pPr>
        <w:spacing w:after="0" w:line="240" w:lineRule="auto"/>
        <w:rPr>
          <w:rFonts w:ascii="Times New Roman" w:hAnsi="Times New Roman"/>
          <w:sz w:val="28"/>
          <w:szCs w:val="28"/>
          <w:lang w:val="ru-RU"/>
        </w:rPr>
      </w:pPr>
      <w:r w:rsidRPr="00952DDA">
        <w:rPr>
          <w:rFonts w:ascii="Times New Roman" w:hAnsi="Times New Roman"/>
          <w:sz w:val="28"/>
          <w:szCs w:val="28"/>
        </w:rPr>
        <w:t xml:space="preserve">Начальник Миколаївської ДПІ </w:t>
      </w:r>
    </w:p>
    <w:p w:rsidR="000B1451" w:rsidRPr="00952DDA" w:rsidRDefault="000B1451" w:rsidP="004F2CB9">
      <w:pPr>
        <w:spacing w:after="0" w:line="360" w:lineRule="auto"/>
        <w:jc w:val="both"/>
        <w:rPr>
          <w:rFonts w:ascii="Times New Roman" w:hAnsi="Times New Roman"/>
          <w:bCs/>
          <w:i/>
          <w:sz w:val="28"/>
          <w:szCs w:val="28"/>
        </w:rPr>
      </w:pPr>
      <w:r w:rsidRPr="00952DDA">
        <w:rPr>
          <w:rFonts w:ascii="Times New Roman" w:hAnsi="Times New Roman"/>
          <w:sz w:val="28"/>
          <w:szCs w:val="28"/>
        </w:rPr>
        <w:t xml:space="preserve">ГУ  ДПС у Львівській області                                                       Микола ФЕРЕНЦ    </w:t>
      </w:r>
    </w:p>
    <w:p w:rsidR="000B1451" w:rsidRPr="00EA6DE1" w:rsidRDefault="000B1451" w:rsidP="004F2CB9">
      <w:pPr>
        <w:spacing w:after="0" w:line="240" w:lineRule="auto"/>
        <w:ind w:firstLine="567"/>
        <w:rPr>
          <w:rFonts w:ascii="Times New Roman" w:hAnsi="Times New Roman"/>
          <w:sz w:val="28"/>
          <w:szCs w:val="28"/>
        </w:rPr>
      </w:pPr>
    </w:p>
    <w:p w:rsidR="000B1451" w:rsidRPr="00A65798" w:rsidRDefault="000B1451" w:rsidP="00A65798">
      <w:pPr>
        <w:spacing w:after="0" w:line="240" w:lineRule="auto"/>
        <w:ind w:firstLine="567"/>
        <w:rPr>
          <w:rFonts w:ascii="Times New Roman" w:hAnsi="Times New Roman"/>
          <w:sz w:val="28"/>
          <w:szCs w:val="28"/>
        </w:rPr>
      </w:pPr>
    </w:p>
    <w:sectPr w:rsidR="000B1451" w:rsidRPr="00A65798" w:rsidSect="00E050E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DCB"/>
    <w:rsid w:val="000B1451"/>
    <w:rsid w:val="001A2DCB"/>
    <w:rsid w:val="004F2CB9"/>
    <w:rsid w:val="00584936"/>
    <w:rsid w:val="00635CD6"/>
    <w:rsid w:val="00646CD7"/>
    <w:rsid w:val="00755664"/>
    <w:rsid w:val="007D1D61"/>
    <w:rsid w:val="00952DDA"/>
    <w:rsid w:val="00956EEE"/>
    <w:rsid w:val="00A65798"/>
    <w:rsid w:val="00AB3360"/>
    <w:rsid w:val="00E050E3"/>
    <w:rsid w:val="00EA6D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E3"/>
    <w:pPr>
      <w:spacing w:after="200" w:line="276" w:lineRule="auto"/>
    </w:pPr>
    <w:rPr>
      <w:lang w:val="uk-UA"/>
    </w:rPr>
  </w:style>
  <w:style w:type="paragraph" w:styleId="Heading1">
    <w:name w:val="heading 1"/>
    <w:basedOn w:val="Normal"/>
    <w:link w:val="Heading1Char"/>
    <w:uiPriority w:val="99"/>
    <w:qFormat/>
    <w:rsid w:val="001A2DCB"/>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2DCB"/>
    <w:rPr>
      <w:rFonts w:ascii="Times New Roman" w:hAnsi="Times New Roman" w:cs="Times New Roman"/>
      <w:b/>
      <w:bCs/>
      <w:kern w:val="36"/>
      <w:sz w:val="48"/>
      <w:szCs w:val="48"/>
      <w:lang w:eastAsia="uk-UA"/>
    </w:rPr>
  </w:style>
  <w:style w:type="character" w:styleId="Hyperlink">
    <w:name w:val="Hyperlink"/>
    <w:basedOn w:val="DefaultParagraphFont"/>
    <w:uiPriority w:val="99"/>
    <w:semiHidden/>
    <w:rsid w:val="001A2DCB"/>
    <w:rPr>
      <w:rFonts w:cs="Times New Roman"/>
      <w:color w:val="0000FF"/>
      <w:u w:val="single"/>
    </w:rPr>
  </w:style>
  <w:style w:type="paragraph" w:styleId="NormalWeb">
    <w:name w:val="Normal (Web)"/>
    <w:basedOn w:val="Normal"/>
    <w:uiPriority w:val="99"/>
    <w:semiHidden/>
    <w:rsid w:val="001A2DCB"/>
    <w:pPr>
      <w:spacing w:before="100" w:beforeAutospacing="1" w:after="100" w:afterAutospacing="1" w:line="240" w:lineRule="auto"/>
    </w:pPr>
    <w:rPr>
      <w:rFonts w:ascii="Times New Roman" w:eastAsia="Times New Roman" w:hAnsi="Times New Roman"/>
      <w:sz w:val="24"/>
      <w:szCs w:val="24"/>
      <w:lang w:eastAsia="uk-UA"/>
    </w:rPr>
  </w:style>
  <w:style w:type="character" w:styleId="Strong">
    <w:name w:val="Strong"/>
    <w:basedOn w:val="DefaultParagraphFont"/>
    <w:uiPriority w:val="99"/>
    <w:qFormat/>
    <w:rsid w:val="001A2DCB"/>
    <w:rPr>
      <w:rFonts w:cs="Times New Roman"/>
      <w:b/>
      <w:bCs/>
    </w:rPr>
  </w:style>
</w:styles>
</file>

<file path=word/webSettings.xml><?xml version="1.0" encoding="utf-8"?>
<w:webSettings xmlns:r="http://schemas.openxmlformats.org/officeDocument/2006/relationships" xmlns:w="http://schemas.openxmlformats.org/wordprocessingml/2006/main">
  <w:divs>
    <w:div w:id="1396735651">
      <w:marLeft w:val="0"/>
      <w:marRight w:val="0"/>
      <w:marTop w:val="0"/>
      <w:marBottom w:val="0"/>
      <w:divBdr>
        <w:top w:val="none" w:sz="0" w:space="0" w:color="auto"/>
        <w:left w:val="none" w:sz="0" w:space="0" w:color="auto"/>
        <w:bottom w:val="none" w:sz="0" w:space="0" w:color="auto"/>
        <w:right w:val="none" w:sz="0" w:space="0" w:color="auto"/>
      </w:divBdr>
      <w:divsChild>
        <w:div w:id="1396735653">
          <w:marLeft w:val="0"/>
          <w:marRight w:val="0"/>
          <w:marTop w:val="0"/>
          <w:marBottom w:val="0"/>
          <w:divBdr>
            <w:top w:val="none" w:sz="0" w:space="0" w:color="auto"/>
            <w:left w:val="none" w:sz="0" w:space="0" w:color="auto"/>
            <w:bottom w:val="none" w:sz="0" w:space="0" w:color="auto"/>
            <w:right w:val="none" w:sz="0" w:space="0" w:color="auto"/>
          </w:divBdr>
          <w:divsChild>
            <w:div w:id="1396735652">
              <w:marLeft w:val="0"/>
              <w:marRight w:val="0"/>
              <w:marTop w:val="0"/>
              <w:marBottom w:val="0"/>
              <w:divBdr>
                <w:top w:val="none" w:sz="0" w:space="0" w:color="auto"/>
                <w:left w:val="none" w:sz="0" w:space="0" w:color="auto"/>
                <w:bottom w:val="none" w:sz="0" w:space="0" w:color="auto"/>
                <w:right w:val="none" w:sz="0" w:space="0" w:color="auto"/>
              </w:divBdr>
              <w:divsChild>
                <w:div w:id="1396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5655">
          <w:marLeft w:val="0"/>
          <w:marRight w:val="0"/>
          <w:marTop w:val="0"/>
          <w:marBottom w:val="0"/>
          <w:divBdr>
            <w:top w:val="none" w:sz="0" w:space="0" w:color="auto"/>
            <w:left w:val="none" w:sz="0" w:space="0" w:color="auto"/>
            <w:bottom w:val="none" w:sz="0" w:space="0" w:color="auto"/>
            <w:right w:val="none" w:sz="0" w:space="0" w:color="auto"/>
          </w:divBdr>
          <w:divsChild>
            <w:div w:id="13967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me/infoTAXbot?fbclid=IwAR1eEOA2inzB537OAjIMg-PaBmf8JMvKBozxqYEmFiebzfttX8NfXLebI_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show/z0974-1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yiv.tax.gov.ua/media-ark/news-ark/488101.html" TargetMode="External"/><Relationship Id="rId11" Type="http://schemas.openxmlformats.org/officeDocument/2006/relationships/hyperlink" Target="https://youtube.com/TaxUkraine?fbclid=IwAR0R-H3vBWNytdigHxhI1ITvCighTQBdyK79pCrpU7V0iNAgc-PjYGT5jfs" TargetMode="External"/><Relationship Id="rId5" Type="http://schemas.openxmlformats.org/officeDocument/2006/relationships/hyperlink" Target="https://zakon.rada.gov.ua/laws/show/2755-17" TargetMode="External"/><Relationship Id="rId10" Type="http://schemas.openxmlformats.org/officeDocument/2006/relationships/hyperlink" Target="https://www.facebook.com/TaxUkraine/?__cft__%5b0%5d=AZWrNAkHcLIkGGN-XJ43ND1UcvnPQ0Fu3gdEdHp521GdYSLq-n8tU3vT4xU4K50PJMh7li0OZTxuRmE421_K0Yyye57qmjIrz7WULSx8ur8nrRSonL5cAJMu_nTGHSvGRQ66zmO3yOHUHF6uE1QzVKz3xwLXdYgIlRjuIHoae7YYjA&amp;__tn__=kK-R" TargetMode="External"/><Relationship Id="rId4" Type="http://schemas.openxmlformats.org/officeDocument/2006/relationships/hyperlink" Target="https://zakon.rada.gov.ua/laws/show/z0974-15" TargetMode="External"/><Relationship Id="rId9" Type="http://schemas.openxmlformats.org/officeDocument/2006/relationships/hyperlink" Target="https://t.me/tax_gov_ua?fbclid=IwAR2uOHnG8_9m7hu2iLnYpjKkur_AFXmlVGWXN-iMQhgr0d6ghfyuX_Rs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819</Words>
  <Characters>4670</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заповнення реквізиту «Призначення платежу» розрахункових документів на переказ у разі сплати податків, зборів, платежів, єдиного внеску на загальнообов’язкове державне соціальне страхування </dc:title>
  <dc:subject/>
  <dc:creator>islesarenko</dc:creator>
  <cp:keywords/>
  <dc:description/>
  <cp:lastModifiedBy>my290-gerey</cp:lastModifiedBy>
  <cp:revision>2</cp:revision>
  <dcterms:created xsi:type="dcterms:W3CDTF">2021-10-25T10:58:00Z</dcterms:created>
  <dcterms:modified xsi:type="dcterms:W3CDTF">2021-10-25T10:58:00Z</dcterms:modified>
</cp:coreProperties>
</file>