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C4D0" w14:textId="77777777" w:rsidR="00F828EE" w:rsidRPr="00F828EE" w:rsidRDefault="00F828EE" w:rsidP="00F828E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F828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7FEFB9F" wp14:editId="6C07EAC3">
            <wp:extent cx="426720" cy="609600"/>
            <wp:effectExtent l="0" t="0" r="0" b="0"/>
            <wp:docPr id="38926666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50B5" w14:textId="77777777" w:rsidR="00F828EE" w:rsidRPr="00F828EE" w:rsidRDefault="00F828EE" w:rsidP="00F82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14:paraId="239CEDDF" w14:textId="77777777" w:rsidR="00F828EE" w:rsidRPr="00F828EE" w:rsidRDefault="00F828EE" w:rsidP="00F82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565E4DBD" w14:textId="77777777" w:rsidR="00F828EE" w:rsidRPr="00F828EE" w:rsidRDefault="00F828EE" w:rsidP="00F828E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828EE">
        <w:rPr>
          <w:rFonts w:ascii="Times New Roman" w:hAnsi="Times New Roman" w:cs="Times New Roman"/>
          <w:b/>
          <w:sz w:val="24"/>
          <w:szCs w:val="24"/>
          <w:lang w:val="en-US"/>
        </w:rPr>
        <w:t>LXX</w:t>
      </w:r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сесія</w:t>
      </w:r>
      <w:proofErr w:type="spellEnd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VIII </w:t>
      </w:r>
      <w:proofErr w:type="spellStart"/>
      <w:r w:rsidRPr="00F828EE">
        <w:rPr>
          <w:rFonts w:ascii="Times New Roman" w:hAnsi="Times New Roman" w:cs="Times New Roman"/>
          <w:b/>
          <w:sz w:val="24"/>
          <w:szCs w:val="24"/>
          <w:lang w:eastAsia="uk-UA"/>
        </w:rPr>
        <w:t>скликання</w:t>
      </w:r>
      <w:proofErr w:type="spellEnd"/>
    </w:p>
    <w:p w14:paraId="7AD941AB" w14:textId="77777777" w:rsidR="00F828EE" w:rsidRPr="00F828EE" w:rsidRDefault="00F828EE" w:rsidP="00F828E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7BB9408B" w14:textId="77777777" w:rsidR="00F828EE" w:rsidRPr="00F828EE" w:rsidRDefault="00F828EE" w:rsidP="00F828E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ar-SA"/>
        </w:rPr>
      </w:pPr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 І Ш Е Н </w:t>
      </w:r>
      <w:proofErr w:type="spellStart"/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</w:t>
      </w:r>
      <w:proofErr w:type="spellEnd"/>
      <w:r w:rsidRPr="00F828E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Я  </w:t>
      </w:r>
    </w:p>
    <w:p w14:paraId="0CEE056B" w14:textId="77777777" w:rsidR="00F828EE" w:rsidRPr="00F828EE" w:rsidRDefault="00F828EE" w:rsidP="00F828E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2528329" w14:textId="6B10FF1D" w:rsidR="00F828EE" w:rsidRPr="00F828EE" w:rsidRDefault="00F828EE" w:rsidP="00F828E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828EE">
        <w:rPr>
          <w:rFonts w:ascii="Times New Roman" w:hAnsi="Times New Roman" w:cs="Times New Roman"/>
          <w:sz w:val="26"/>
          <w:szCs w:val="26"/>
        </w:rPr>
        <w:t xml:space="preserve">19 </w:t>
      </w:r>
      <w:proofErr w:type="spellStart"/>
      <w:r w:rsidRPr="00F828EE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F828EE">
        <w:rPr>
          <w:rFonts w:ascii="Times New Roman" w:hAnsi="Times New Roman" w:cs="Times New Roman"/>
          <w:sz w:val="26"/>
          <w:szCs w:val="26"/>
        </w:rPr>
        <w:t xml:space="preserve"> 202</w:t>
      </w:r>
      <w:r w:rsidRPr="00F828E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F828EE">
        <w:rPr>
          <w:rFonts w:ascii="Times New Roman" w:hAnsi="Times New Roman" w:cs="Times New Roman"/>
          <w:sz w:val="26"/>
          <w:szCs w:val="26"/>
        </w:rPr>
        <w:t xml:space="preserve"> року                            с. </w:t>
      </w:r>
      <w:proofErr w:type="spellStart"/>
      <w:r w:rsidRPr="00F828EE">
        <w:rPr>
          <w:rFonts w:ascii="Times New Roman" w:hAnsi="Times New Roman" w:cs="Times New Roman"/>
          <w:sz w:val="26"/>
          <w:szCs w:val="26"/>
        </w:rPr>
        <w:t>Тростянець</w:t>
      </w:r>
      <w:proofErr w:type="spellEnd"/>
      <w:r w:rsidRPr="00F828EE">
        <w:rPr>
          <w:rFonts w:ascii="Times New Roman" w:hAnsi="Times New Roman" w:cs="Times New Roman"/>
          <w:sz w:val="26"/>
          <w:szCs w:val="26"/>
        </w:rPr>
        <w:t xml:space="preserve">                                         № </w:t>
      </w:r>
      <w:r w:rsidR="005F4915">
        <w:rPr>
          <w:rFonts w:ascii="Times New Roman" w:hAnsi="Times New Roman" w:cs="Times New Roman"/>
          <w:sz w:val="26"/>
          <w:szCs w:val="26"/>
          <w:lang w:val="uk-UA"/>
        </w:rPr>
        <w:t>4339</w:t>
      </w:r>
    </w:p>
    <w:p w14:paraId="527E7297" w14:textId="77777777" w:rsidR="00F828EE" w:rsidRPr="00F828EE" w:rsidRDefault="00F828EE" w:rsidP="00F828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noProof/>
          <w:sz w:val="24"/>
          <w:szCs w:val="24"/>
          <w:lang w:val="uk-UA" w:eastAsia="uk-UA"/>
        </w:rPr>
      </w:pPr>
    </w:p>
    <w:p w14:paraId="4BD26DAD" w14:textId="3A0CE484" w:rsidR="003C641E" w:rsidRPr="0096010F" w:rsidRDefault="00907B5F" w:rsidP="00F828EE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Про затвердже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ння Порядку і нормативів</w:t>
      </w:r>
      <w:r w:rsidR="00F828E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5F739A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ідрахування</w:t>
      </w:r>
      <w:r w:rsidR="00EE216D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kern w:val="0"/>
          <w:sz w:val="24"/>
          <w:szCs w:val="24"/>
          <w:lang w:val="uk-UA"/>
          <w14:ligatures w14:val="none"/>
        </w:rPr>
        <w:t>частини чистого прибутку</w:t>
      </w:r>
      <w:r w:rsidR="00EE216D" w:rsidRPr="0096010F">
        <w:rPr>
          <w:rFonts w:ascii="Times New Roman" w:hAnsi="Times New Roman" w:cs="Times New Roman"/>
          <w:b/>
          <w:bCs/>
          <w:iCs/>
          <w:kern w:val="0"/>
          <w:sz w:val="24"/>
          <w:szCs w:val="24"/>
          <w:lang w:val="uk-UA"/>
          <w14:ligatures w14:val="none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kern w:val="0"/>
          <w:sz w:val="24"/>
          <w:szCs w:val="24"/>
          <w:lang w:val="uk-UA"/>
          <w14:ligatures w14:val="none"/>
        </w:rPr>
        <w:t>(доходу)</w:t>
      </w:r>
      <w:r w:rsidR="00F828EE">
        <w:rPr>
          <w:rFonts w:ascii="Times New Roman" w:hAnsi="Times New Roman" w:cs="Times New Roman"/>
          <w:b/>
          <w:bCs/>
          <w:iCs/>
          <w:kern w:val="0"/>
          <w:sz w:val="24"/>
          <w:szCs w:val="24"/>
          <w:lang w:val="uk-UA"/>
          <w14:ligatures w14:val="none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 загального фонду</w:t>
      </w:r>
      <w:r w:rsidR="00EE216D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сільського</w:t>
      </w:r>
      <w:r w:rsidR="00EE216D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бюджету</w:t>
      </w:r>
      <w:r w:rsidR="00F828E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комунальним підприємством «Тростянецьке</w:t>
      </w:r>
      <w:r w:rsidR="00F828E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 </w:t>
      </w:r>
      <w:r w:rsidR="003C641E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житлово-комунальне управління»</w:t>
      </w:r>
    </w:p>
    <w:p w14:paraId="6927E0EC" w14:textId="77777777" w:rsidR="0096010F" w:rsidRPr="0096010F" w:rsidRDefault="0096010F" w:rsidP="009601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2971ABEA" w14:textId="367CCCDA" w:rsidR="00907B5F" w:rsidRDefault="00907B5F" w:rsidP="0096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Відповідно</w:t>
      </w:r>
      <w:r w:rsidR="003C641E" w:rsidRPr="0096010F">
        <w:rPr>
          <w:rFonts w:ascii="Open Sans" w:hAnsi="Open Sans"/>
          <w:color w:val="383838"/>
          <w:sz w:val="24"/>
          <w:szCs w:val="24"/>
          <w:shd w:val="clear" w:color="auto" w:fill="FFFFFF"/>
          <w:lang w:val="uk-UA"/>
        </w:rPr>
        <w:t xml:space="preserve"> </w:t>
      </w:r>
      <w:r w:rsidR="003C641E" w:rsidRPr="009601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 пункту 35 частини 1 статті 64 Бюджетного кодексу України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B3495" w:rsidRPr="0096010F">
        <w:rPr>
          <w:rFonts w:ascii="Open Sans" w:hAnsi="Open Sans"/>
          <w:color w:val="383838"/>
          <w:sz w:val="24"/>
          <w:szCs w:val="24"/>
          <w:shd w:val="clear" w:color="auto" w:fill="FFFFFF"/>
          <w:lang w:val="uk-UA"/>
        </w:rPr>
        <w:t xml:space="preserve"> </w:t>
      </w:r>
      <w:r w:rsidR="003B3495" w:rsidRPr="0096010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розділу ІІІ Податкового Кодексу України</w:t>
      </w:r>
      <w:r w:rsidR="003B3495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>статті 26 Закону України «Про місцеве самоврядування в Україні»</w:t>
      </w:r>
      <w:r w:rsidR="003B3495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рекомендації постійної комісії сільської ради з питань бюджету, фінансів та планування соціально-економічного розвитку, </w:t>
      </w:r>
      <w:r w:rsidR="0096010F">
        <w:rPr>
          <w:rFonts w:ascii="Times New Roman" w:hAnsi="Times New Roman" w:cs="Times New Roman"/>
          <w:sz w:val="24"/>
          <w:szCs w:val="24"/>
          <w:lang w:val="uk-UA"/>
        </w:rPr>
        <w:t>Тростянецька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14:paraId="57784FC6" w14:textId="77777777" w:rsidR="0096010F" w:rsidRPr="0096010F" w:rsidRDefault="0096010F" w:rsidP="0096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6D7D5E" w14:textId="3D993BC4" w:rsidR="00907B5F" w:rsidRDefault="003B3495" w:rsidP="00960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96010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1071C2D" w14:textId="77777777" w:rsidR="0096010F" w:rsidRPr="0096010F" w:rsidRDefault="0096010F" w:rsidP="009601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5C88AE" w14:textId="5CA9EF86" w:rsidR="00907B5F" w:rsidRPr="0096010F" w:rsidRDefault="00907B5F" w:rsidP="009601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Затвердити Порядок і нормативи відрахування до загального фонду сільського бюджету комунальним підприємством «Тростянецьке житлово-комунальне управління», яке належить до комунальної власності територіальної громади Тростянецької сільської ради, частини чистого прибутку (доходу) за результатами фінансово-господарської діяльності у</w:t>
      </w:r>
      <w:r w:rsidR="00475159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2025 році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додатком.</w:t>
      </w:r>
    </w:p>
    <w:p w14:paraId="1928E9B7" w14:textId="298D6E1A" w:rsidR="00475159" w:rsidRPr="0096010F" w:rsidRDefault="00475159" w:rsidP="009601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сільської ради з питань бюджету, фінансів та планування соціально-економічного розвитку (голова комісії</w:t>
      </w:r>
      <w:r w:rsidR="003B3495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D46A69">
        <w:rPr>
          <w:rFonts w:ascii="Times New Roman" w:hAnsi="Times New Roman" w:cs="Times New Roman"/>
          <w:b/>
          <w:sz w:val="24"/>
          <w:szCs w:val="24"/>
          <w:lang w:val="uk-UA"/>
        </w:rPr>
        <w:t>Андрій</w:t>
      </w:r>
      <w:r w:rsidR="003B3495" w:rsidRPr="00960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</w:t>
      </w:r>
      <w:r w:rsidR="00D46A69">
        <w:rPr>
          <w:rFonts w:ascii="Times New Roman" w:hAnsi="Times New Roman" w:cs="Times New Roman"/>
          <w:b/>
          <w:sz w:val="24"/>
          <w:szCs w:val="24"/>
          <w:lang w:val="uk-UA"/>
        </w:rPr>
        <w:t>’ЯСЕЦЬКИЙ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A0D38" w:rsidRPr="009601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70DCD1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2974FA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F77B4D6" w14:textId="77777777" w:rsidR="00475159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0BB931" w14:textId="77777777" w:rsidR="00B661B6" w:rsidRPr="0096010F" w:rsidRDefault="00B661B6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B119F9" w14:textId="77777777" w:rsidR="00F828EE" w:rsidRPr="00D46A69" w:rsidRDefault="00F828EE" w:rsidP="00F828E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</w:t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46A69">
        <w:rPr>
          <w:rFonts w:ascii="Times New Roman" w:hAnsi="Times New Roman" w:cs="Times New Roman"/>
          <w:b/>
          <w:sz w:val="24"/>
          <w:szCs w:val="24"/>
          <w:lang w:val="uk-UA"/>
        </w:rPr>
        <w:tab/>
        <w:t>Михайло ЦИХУЛЯК</w:t>
      </w:r>
    </w:p>
    <w:p w14:paraId="660E8D29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56D5CA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34696D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6EB49B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E17EEA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06CCA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043B8F" w14:textId="77777777" w:rsidR="00475159" w:rsidRPr="0096010F" w:rsidRDefault="00475159" w:rsidP="00960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5BD164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31D71722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310DC639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0855EFAE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0941B2F5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62D95ADB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001736BA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7B70C527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653F286F" w14:textId="77777777" w:rsidR="0096010F" w:rsidRDefault="0096010F" w:rsidP="0096010F">
      <w:pPr>
        <w:pStyle w:val="20"/>
        <w:shd w:val="clear" w:color="auto" w:fill="auto"/>
        <w:spacing w:line="240" w:lineRule="auto"/>
        <w:ind w:left="6237"/>
        <w:jc w:val="both"/>
        <w:rPr>
          <w:sz w:val="24"/>
          <w:szCs w:val="24"/>
          <w:lang w:val="uk-UA"/>
        </w:rPr>
      </w:pPr>
    </w:p>
    <w:p w14:paraId="21718BB7" w14:textId="30486B0A" w:rsidR="008F6F3F" w:rsidRPr="0096010F" w:rsidRDefault="008F6F3F" w:rsidP="0096010F">
      <w:pPr>
        <w:pStyle w:val="20"/>
        <w:shd w:val="clear" w:color="auto" w:fill="auto"/>
        <w:spacing w:line="240" w:lineRule="auto"/>
        <w:ind w:left="5670"/>
        <w:jc w:val="both"/>
        <w:rPr>
          <w:sz w:val="24"/>
          <w:szCs w:val="24"/>
          <w:lang w:val="uk-UA"/>
        </w:rPr>
      </w:pPr>
      <w:r w:rsidRPr="0096010F">
        <w:rPr>
          <w:sz w:val="24"/>
          <w:szCs w:val="24"/>
          <w:lang w:val="uk-UA"/>
        </w:rPr>
        <w:t>Додаток</w:t>
      </w:r>
    </w:p>
    <w:p w14:paraId="1C09B6C9" w14:textId="37758723" w:rsidR="008F6F3F" w:rsidRPr="0096010F" w:rsidRDefault="008F6F3F" w:rsidP="0096010F">
      <w:pPr>
        <w:pStyle w:val="20"/>
        <w:shd w:val="clear" w:color="auto" w:fill="auto"/>
        <w:spacing w:line="240" w:lineRule="auto"/>
        <w:ind w:left="5670" w:right="140"/>
        <w:jc w:val="both"/>
        <w:rPr>
          <w:sz w:val="24"/>
          <w:szCs w:val="24"/>
          <w:lang w:val="uk-UA"/>
        </w:rPr>
      </w:pPr>
      <w:r w:rsidRPr="0096010F">
        <w:rPr>
          <w:sz w:val="24"/>
          <w:szCs w:val="24"/>
          <w:lang w:val="uk-UA"/>
        </w:rPr>
        <w:t xml:space="preserve">до рішення </w:t>
      </w:r>
      <w:r w:rsidRPr="0096010F">
        <w:rPr>
          <w:sz w:val="24"/>
          <w:szCs w:val="24"/>
          <w:lang w:val="en-US"/>
        </w:rPr>
        <w:t>L</w:t>
      </w:r>
      <w:r w:rsidR="00F828EE">
        <w:rPr>
          <w:sz w:val="24"/>
          <w:szCs w:val="24"/>
          <w:lang w:val="en-US"/>
        </w:rPr>
        <w:t>XX</w:t>
      </w:r>
      <w:r w:rsidRPr="0096010F">
        <w:rPr>
          <w:sz w:val="24"/>
          <w:szCs w:val="24"/>
          <w:lang w:val="uk-UA"/>
        </w:rPr>
        <w:t xml:space="preserve"> сесії </w:t>
      </w:r>
      <w:r w:rsidRPr="0096010F">
        <w:rPr>
          <w:sz w:val="24"/>
          <w:szCs w:val="24"/>
        </w:rPr>
        <w:t>VIII</w:t>
      </w:r>
      <w:r w:rsidRPr="0096010F">
        <w:rPr>
          <w:sz w:val="24"/>
          <w:szCs w:val="24"/>
          <w:lang w:val="uk-UA"/>
        </w:rPr>
        <w:t xml:space="preserve"> скликання Тростянецької сільської ради від 19.12.202</w:t>
      </w:r>
      <w:r w:rsidR="00F828EE" w:rsidRPr="00F828EE">
        <w:rPr>
          <w:sz w:val="24"/>
          <w:szCs w:val="24"/>
          <w:lang w:val="uk-UA"/>
        </w:rPr>
        <w:t>5</w:t>
      </w:r>
      <w:r w:rsidRPr="0096010F">
        <w:rPr>
          <w:sz w:val="24"/>
          <w:szCs w:val="24"/>
          <w:lang w:val="uk-UA"/>
        </w:rPr>
        <w:t xml:space="preserve"> №</w:t>
      </w:r>
      <w:r w:rsidR="00194BAD">
        <w:rPr>
          <w:sz w:val="24"/>
          <w:szCs w:val="24"/>
          <w:lang w:val="uk-UA"/>
        </w:rPr>
        <w:t xml:space="preserve"> </w:t>
      </w:r>
      <w:r w:rsidR="005F4915">
        <w:rPr>
          <w:sz w:val="24"/>
          <w:szCs w:val="24"/>
          <w:u w:val="single"/>
          <w:lang w:val="uk-UA"/>
        </w:rPr>
        <w:t>4339</w:t>
      </w:r>
      <w:bookmarkStart w:id="0" w:name="_GoBack"/>
      <w:bookmarkEnd w:id="0"/>
    </w:p>
    <w:p w14:paraId="2308C11A" w14:textId="77777777" w:rsidR="00475159" w:rsidRPr="0096010F" w:rsidRDefault="00475159" w:rsidP="0096010F">
      <w:pPr>
        <w:spacing w:after="0" w:line="240" w:lineRule="auto"/>
        <w:ind w:left="5664" w:firstLine="1416"/>
        <w:rPr>
          <w:rFonts w:ascii="Times New Roman" w:hAnsi="Times New Roman" w:cs="Times New Roman"/>
          <w:sz w:val="24"/>
          <w:szCs w:val="24"/>
          <w:lang w:val="uk-UA"/>
        </w:rPr>
      </w:pPr>
    </w:p>
    <w:p w14:paraId="4D1AF1DB" w14:textId="77777777" w:rsidR="008F6F3F" w:rsidRPr="0096010F" w:rsidRDefault="00475159" w:rsidP="00B661B6">
      <w:pPr>
        <w:tabs>
          <w:tab w:val="left" w:pos="284"/>
        </w:tabs>
        <w:spacing w:after="0" w:line="240" w:lineRule="auto"/>
        <w:ind w:left="1410" w:right="567" w:hanging="84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Порядок і нормативи</w:t>
      </w:r>
    </w:p>
    <w:p w14:paraId="5FEFDBB6" w14:textId="31C59B5C" w:rsidR="00475159" w:rsidRPr="0096010F" w:rsidRDefault="00475159" w:rsidP="00B661B6">
      <w:pPr>
        <w:tabs>
          <w:tab w:val="left" w:pos="284"/>
        </w:tabs>
        <w:spacing w:after="0" w:line="240" w:lineRule="auto"/>
        <w:ind w:left="283" w:right="28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відрахування до загального фонду сільського бюджету комунальним підприємством</w:t>
      </w:r>
      <w:r w:rsidR="001122F5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«Тростянецьке житлово-комунальне управління» частини чистого прибутку (доходу) за результатами фінансово-господарської діяльності у 202</w:t>
      </w:r>
      <w:r w:rsidR="0029053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6</w:t>
      </w:r>
      <w:r w:rsidR="001122F5" w:rsidRPr="0096010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році</w:t>
      </w:r>
    </w:p>
    <w:p w14:paraId="2694A954" w14:textId="77777777" w:rsidR="001122F5" w:rsidRPr="0096010F" w:rsidRDefault="001122F5" w:rsidP="0096010F">
      <w:pPr>
        <w:tabs>
          <w:tab w:val="left" w:pos="284"/>
        </w:tabs>
        <w:spacing w:after="0" w:line="240" w:lineRule="auto"/>
        <w:ind w:left="-426" w:hanging="843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C6D361E" w14:textId="21B7C781" w:rsidR="001122F5" w:rsidRPr="0096010F" w:rsidRDefault="001122F5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Даний Порядок і нормативи регламентують здійснення відрахування до загального фонду сільського бюджету </w:t>
      </w:r>
      <w:bookmarkStart w:id="1" w:name="_Hlk184728604"/>
      <w:r w:rsidRPr="0096010F">
        <w:rPr>
          <w:rFonts w:ascii="Times New Roman" w:hAnsi="Times New Roman" w:cs="Times New Roman"/>
          <w:sz w:val="24"/>
          <w:szCs w:val="24"/>
          <w:lang w:val="uk-UA"/>
        </w:rPr>
        <w:t>частини чистого прибутку (доходу) комунальним підприємством «Тростянецьке житлово-комунальне управління», що знаходиться у комунальній власност</w:t>
      </w:r>
      <w:r w:rsidR="00E4795A" w:rsidRPr="009601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</w:t>
      </w:r>
      <w:r w:rsidR="00E4795A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Тростянецької сільської ради, за результатами фінансово-господарської діяльност</w:t>
      </w:r>
      <w:bookmarkEnd w:id="1"/>
      <w:r w:rsidR="00E4795A" w:rsidRPr="0096010F">
        <w:rPr>
          <w:rFonts w:ascii="Times New Roman" w:hAnsi="Times New Roman" w:cs="Times New Roman"/>
          <w:sz w:val="24"/>
          <w:szCs w:val="24"/>
          <w:lang w:val="uk-UA"/>
        </w:rPr>
        <w:t>і у 202</w:t>
      </w:r>
      <w:r w:rsidR="0029053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4795A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3D7C9220" w14:textId="30217BC8" w:rsidR="001122F5" w:rsidRPr="0096010F" w:rsidRDefault="00E4795A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Відрахування до загального фонду сільського бюджету</w:t>
      </w:r>
      <w:r w:rsidRPr="009601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>частини чистого прибутку (доходу) комунальним підприємством «Тростянецьке житлово-комунальне управління» за результатами фінансово-господарської діяльності проводиться у розмірі 0 (нуль) відсотків чистого прибутку (доходу).</w:t>
      </w:r>
    </w:p>
    <w:p w14:paraId="70608814" w14:textId="0ED406BF" w:rsidR="00E4795A" w:rsidRPr="0096010F" w:rsidRDefault="00E4795A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Частина чистого прибутку (доходу), що підлягає сплаті до загального фонду сільського бюджету за відповідний період, визначається виходячи із обсягу чистого прибутку (доходу), розрахованого згідно з положеннями (стандартами) бухгалтерського обліку та ро</w:t>
      </w:r>
      <w:r w:rsidR="00781CF2" w:rsidRPr="0096010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6010F">
        <w:rPr>
          <w:rFonts w:ascii="Times New Roman" w:hAnsi="Times New Roman" w:cs="Times New Roman"/>
          <w:sz w:val="24"/>
          <w:szCs w:val="24"/>
          <w:lang w:val="uk-UA"/>
        </w:rPr>
        <w:t>міру відрахування частини чистого прибутку (доходу), зазначеного у пункті 2 цього Порядку.</w:t>
      </w:r>
    </w:p>
    <w:p w14:paraId="312C2791" w14:textId="0F96676C" w:rsidR="00E4795A" w:rsidRPr="0096010F" w:rsidRDefault="00E4795A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Частина чистого прибутку (доходу), що підлягає сплаті до загального фонду сільського бюджету, розраховується</w:t>
      </w:r>
      <w:r w:rsidR="00781CF2"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комунальним підприємством відповідно до порядку складання частини чистого прибутку (доходу), встановленого Державною фіскальною службою України щодо відрахування частини чистого прибутку (доходу) державними підприємствами до Державного бюджету України.</w:t>
      </w:r>
    </w:p>
    <w:p w14:paraId="4C6AE353" w14:textId="77139158" w:rsidR="00781CF2" w:rsidRPr="0096010F" w:rsidRDefault="00781CF2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частини чистого прибутку (доходу) разом із фінансовою звітністю подаються у Миколаївське відділення </w:t>
      </w:r>
      <w:proofErr w:type="spellStart"/>
      <w:r w:rsidRPr="0096010F">
        <w:rPr>
          <w:rFonts w:ascii="Times New Roman" w:hAnsi="Times New Roman" w:cs="Times New Roman"/>
          <w:sz w:val="24"/>
          <w:szCs w:val="24"/>
          <w:lang w:val="uk-UA"/>
        </w:rPr>
        <w:t>Стрийської</w:t>
      </w:r>
      <w:proofErr w:type="spellEnd"/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об’єднаної  державної податкової інспекції  Головного управління ДФС у Львівській області у строки, встановлені для подання декларації з податку на прибуток підприємства.</w:t>
      </w:r>
    </w:p>
    <w:p w14:paraId="7D68F3C1" w14:textId="7CEF093F" w:rsidR="00781CF2" w:rsidRPr="0096010F" w:rsidRDefault="00781CF2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>Визначена відповідно до пункту 2 цього Порядку частина чистого прибутку (доходу) зараховується на відповідний рахунок з обліку надходжень до загального фонду сільського бюджету, відкритий у відділенні Державного казначейства України у Миколаївському районі.</w:t>
      </w:r>
    </w:p>
    <w:p w14:paraId="0CE93DC8" w14:textId="1AEB3A6F" w:rsidR="00781CF2" w:rsidRPr="0096010F" w:rsidRDefault="00781CF2" w:rsidP="0096010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firstLine="73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10F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правильність </w:t>
      </w:r>
      <w:r w:rsidR="00BF211E" w:rsidRPr="0096010F">
        <w:rPr>
          <w:rFonts w:ascii="Times New Roman" w:hAnsi="Times New Roman" w:cs="Times New Roman"/>
          <w:sz w:val="24"/>
          <w:szCs w:val="24"/>
          <w:lang w:val="uk-UA"/>
        </w:rPr>
        <w:t>нарахування та своєчасність сплати частини чистого прибутку (доходу) комунальне підприємство несе у відповідності до чинного законодавства.</w:t>
      </w:r>
    </w:p>
    <w:p w14:paraId="617E34F2" w14:textId="77777777" w:rsidR="00907B5F" w:rsidRDefault="00907B5F" w:rsidP="0096010F">
      <w:pPr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5EE74" w14:textId="77777777" w:rsidR="0096010F" w:rsidRDefault="0096010F" w:rsidP="0096010F">
      <w:pPr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0B2899" w14:textId="77777777" w:rsidR="0096010F" w:rsidRPr="0096010F" w:rsidRDefault="0096010F" w:rsidP="0096010F">
      <w:pPr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943FDC" w14:textId="77777777" w:rsidR="00BF211E" w:rsidRPr="0096010F" w:rsidRDefault="00BF211E" w:rsidP="0096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246A3C" w14:textId="77777777" w:rsidR="008F6F3F" w:rsidRPr="0096010F" w:rsidRDefault="008F6F3F" w:rsidP="0096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10F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96010F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r w:rsidRPr="0096010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6010F">
        <w:rPr>
          <w:rFonts w:ascii="Times New Roman" w:hAnsi="Times New Roman" w:cs="Times New Roman"/>
          <w:b/>
          <w:sz w:val="24"/>
          <w:szCs w:val="24"/>
        </w:rPr>
        <w:t>Олександр</w:t>
      </w:r>
      <w:proofErr w:type="spellEnd"/>
      <w:r w:rsidRPr="0096010F">
        <w:rPr>
          <w:rFonts w:ascii="Times New Roman" w:hAnsi="Times New Roman" w:cs="Times New Roman"/>
          <w:b/>
          <w:sz w:val="24"/>
          <w:szCs w:val="24"/>
        </w:rPr>
        <w:t xml:space="preserve"> ТЕРЕЩУК</w:t>
      </w:r>
    </w:p>
    <w:p w14:paraId="4789473E" w14:textId="485E5A26" w:rsidR="00BF211E" w:rsidRPr="00907B5F" w:rsidRDefault="00BF211E" w:rsidP="008F6F3F">
      <w:pPr>
        <w:jc w:val="center"/>
        <w:rPr>
          <w:rFonts w:ascii="Times New Roman" w:hAnsi="Times New Roman" w:cs="Times New Roman"/>
          <w:lang w:val="uk-UA"/>
        </w:rPr>
      </w:pPr>
    </w:p>
    <w:sectPr w:rsidR="00BF211E" w:rsidRPr="00907B5F" w:rsidSect="009601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F19"/>
    <w:multiLevelType w:val="hybridMultilevel"/>
    <w:tmpl w:val="9330204E"/>
    <w:lvl w:ilvl="0" w:tplc="1B0E61B4">
      <w:start w:val="1"/>
      <w:numFmt w:val="decimal"/>
      <w:lvlText w:val="%1."/>
      <w:lvlJc w:val="left"/>
      <w:pPr>
        <w:ind w:left="-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" w:hanging="360"/>
      </w:pPr>
    </w:lvl>
    <w:lvl w:ilvl="2" w:tplc="0419001B" w:tentative="1">
      <w:start w:val="1"/>
      <w:numFmt w:val="lowerRoman"/>
      <w:lvlText w:val="%3."/>
      <w:lvlJc w:val="right"/>
      <w:pPr>
        <w:ind w:left="1416" w:hanging="180"/>
      </w:pPr>
    </w:lvl>
    <w:lvl w:ilvl="3" w:tplc="0419000F" w:tentative="1">
      <w:start w:val="1"/>
      <w:numFmt w:val="decimal"/>
      <w:lvlText w:val="%4."/>
      <w:lvlJc w:val="left"/>
      <w:pPr>
        <w:ind w:left="2136" w:hanging="360"/>
      </w:pPr>
    </w:lvl>
    <w:lvl w:ilvl="4" w:tplc="04190019" w:tentative="1">
      <w:start w:val="1"/>
      <w:numFmt w:val="lowerLetter"/>
      <w:lvlText w:val="%5."/>
      <w:lvlJc w:val="left"/>
      <w:pPr>
        <w:ind w:left="2856" w:hanging="360"/>
      </w:pPr>
    </w:lvl>
    <w:lvl w:ilvl="5" w:tplc="0419001B" w:tentative="1">
      <w:start w:val="1"/>
      <w:numFmt w:val="lowerRoman"/>
      <w:lvlText w:val="%6."/>
      <w:lvlJc w:val="right"/>
      <w:pPr>
        <w:ind w:left="3576" w:hanging="180"/>
      </w:pPr>
    </w:lvl>
    <w:lvl w:ilvl="6" w:tplc="0419000F" w:tentative="1">
      <w:start w:val="1"/>
      <w:numFmt w:val="decimal"/>
      <w:lvlText w:val="%7."/>
      <w:lvlJc w:val="left"/>
      <w:pPr>
        <w:ind w:left="4296" w:hanging="360"/>
      </w:pPr>
    </w:lvl>
    <w:lvl w:ilvl="7" w:tplc="04190019" w:tentative="1">
      <w:start w:val="1"/>
      <w:numFmt w:val="lowerLetter"/>
      <w:lvlText w:val="%8."/>
      <w:lvlJc w:val="left"/>
      <w:pPr>
        <w:ind w:left="5016" w:hanging="360"/>
      </w:pPr>
    </w:lvl>
    <w:lvl w:ilvl="8" w:tplc="041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" w15:restartNumberingAfterBreak="0">
    <w:nsid w:val="7C7A1F08"/>
    <w:multiLevelType w:val="hybridMultilevel"/>
    <w:tmpl w:val="717C2F2A"/>
    <w:lvl w:ilvl="0" w:tplc="C2000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CF"/>
    <w:rsid w:val="000A0D38"/>
    <w:rsid w:val="001122F5"/>
    <w:rsid w:val="00194BAD"/>
    <w:rsid w:val="0029053B"/>
    <w:rsid w:val="002A38FE"/>
    <w:rsid w:val="003B3495"/>
    <w:rsid w:val="003C641E"/>
    <w:rsid w:val="00431581"/>
    <w:rsid w:val="00475159"/>
    <w:rsid w:val="00525475"/>
    <w:rsid w:val="005848F7"/>
    <w:rsid w:val="005F4915"/>
    <w:rsid w:val="005F739A"/>
    <w:rsid w:val="00724D84"/>
    <w:rsid w:val="00781CF2"/>
    <w:rsid w:val="007935B2"/>
    <w:rsid w:val="00846442"/>
    <w:rsid w:val="008F6F3F"/>
    <w:rsid w:val="00907B5F"/>
    <w:rsid w:val="0096010F"/>
    <w:rsid w:val="009A431C"/>
    <w:rsid w:val="00AC1BD5"/>
    <w:rsid w:val="00B661B6"/>
    <w:rsid w:val="00BF211E"/>
    <w:rsid w:val="00D43571"/>
    <w:rsid w:val="00D46A69"/>
    <w:rsid w:val="00D921CF"/>
    <w:rsid w:val="00E4795A"/>
    <w:rsid w:val="00EE216D"/>
    <w:rsid w:val="00EF5619"/>
    <w:rsid w:val="00F35C43"/>
    <w:rsid w:val="00F72A93"/>
    <w:rsid w:val="00F828E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CA45"/>
  <w15:docId w15:val="{A1B97056-1735-4B50-9043-4B773CAC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F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8F6F3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6F3F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Sviatoslav</cp:lastModifiedBy>
  <cp:revision>21</cp:revision>
  <cp:lastPrinted>2024-12-11T08:43:00Z</cp:lastPrinted>
  <dcterms:created xsi:type="dcterms:W3CDTF">2024-12-11T09:12:00Z</dcterms:created>
  <dcterms:modified xsi:type="dcterms:W3CDTF">2025-12-22T10:04:00Z</dcterms:modified>
</cp:coreProperties>
</file>